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1" w:type="dxa"/>
        <w:tblLayout w:type="fixed"/>
        <w:tblCellMar>
          <w:left w:w="0" w:type="dxa"/>
          <w:right w:w="0" w:type="dxa"/>
        </w:tblCellMar>
        <w:tblLook w:val="0000" w:firstRow="0" w:lastRow="0" w:firstColumn="0" w:lastColumn="0" w:noHBand="0" w:noVBand="0"/>
      </w:tblPr>
      <w:tblGrid>
        <w:gridCol w:w="7088"/>
        <w:gridCol w:w="2693"/>
      </w:tblGrid>
      <w:tr w:rsidR="005B6DB7" w:rsidRPr="008A7F6D" w14:paraId="5C27CDBC" w14:textId="77777777" w:rsidTr="002B5471">
        <w:trPr>
          <w:trHeight w:val="1841"/>
        </w:trPr>
        <w:tc>
          <w:tcPr>
            <w:tcW w:w="7088" w:type="dxa"/>
          </w:tcPr>
          <w:p w14:paraId="5D801F0E" w14:textId="77777777" w:rsidR="005B6DB7" w:rsidRPr="008A7F6D" w:rsidRDefault="005B6DB7" w:rsidP="002B5471">
            <w:pPr>
              <w:pStyle w:val="Heading1"/>
            </w:pPr>
            <w:r>
              <w:rPr>
                <w:noProof/>
                <w:lang w:val="en-US"/>
              </w:rPr>
              <w:drawing>
                <wp:inline distT="0" distB="0" distL="0" distR="0" wp14:anchorId="565DE632" wp14:editId="6B54FD9A">
                  <wp:extent cx="2867025" cy="1034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5719" cy="1048293"/>
                          </a:xfrm>
                          <a:prstGeom prst="rect">
                            <a:avLst/>
                          </a:prstGeom>
                        </pic:spPr>
                      </pic:pic>
                    </a:graphicData>
                  </a:graphic>
                </wp:inline>
              </w:drawing>
            </w:r>
          </w:p>
        </w:tc>
        <w:tc>
          <w:tcPr>
            <w:tcW w:w="2693" w:type="dxa"/>
          </w:tcPr>
          <w:p w14:paraId="1734522D" w14:textId="77777777" w:rsidR="005B6DB7" w:rsidRPr="00211F61" w:rsidRDefault="005B6DB7" w:rsidP="002B5471">
            <w:pPr>
              <w:pStyle w:val="DeptSchoolHeader"/>
            </w:pPr>
            <w:r w:rsidRPr="00211F61">
              <w:t>School of Law</w:t>
            </w:r>
          </w:p>
          <w:p w14:paraId="4D414603" w14:textId="77777777" w:rsidR="005B6DB7" w:rsidRPr="008A7F6D" w:rsidRDefault="005B6DB7" w:rsidP="002B5471">
            <w:pPr>
              <w:pStyle w:val="Heading1"/>
              <w:ind w:left="131"/>
            </w:pPr>
            <w:r>
              <w:t xml:space="preserve"> </w:t>
            </w:r>
          </w:p>
        </w:tc>
      </w:tr>
    </w:tbl>
    <w:p w14:paraId="7E0C8DAB" w14:textId="77777777" w:rsidR="002B45AC" w:rsidRDefault="002B45AC" w:rsidP="002E5B7B">
      <w:pPr>
        <w:spacing w:line="240" w:lineRule="auto"/>
        <w:rPr>
          <w:rFonts w:ascii="Arial" w:hAnsi="Arial" w:cs="Arial"/>
          <w:b/>
        </w:rPr>
      </w:pPr>
    </w:p>
    <w:p w14:paraId="22FA7525" w14:textId="32619FA1" w:rsidR="009A56C6" w:rsidRPr="009A56C6" w:rsidRDefault="009A56C6" w:rsidP="00EC7CA4">
      <w:pPr>
        <w:spacing w:line="240" w:lineRule="auto"/>
        <w:jc w:val="center"/>
        <w:rPr>
          <w:rFonts w:ascii="Arial" w:hAnsi="Arial" w:cs="Arial"/>
          <w:b/>
        </w:rPr>
      </w:pPr>
      <w:r>
        <w:rPr>
          <w:rFonts w:ascii="Arial" w:hAnsi="Arial" w:cs="Arial"/>
          <w:b/>
        </w:rPr>
        <w:t xml:space="preserve">QUB </w:t>
      </w:r>
      <w:r w:rsidR="002E5B7B">
        <w:rPr>
          <w:rFonts w:ascii="Arial" w:hAnsi="Arial" w:cs="Arial"/>
          <w:b/>
        </w:rPr>
        <w:t xml:space="preserve">/ </w:t>
      </w:r>
      <w:r w:rsidR="007B24EF">
        <w:rPr>
          <w:rFonts w:ascii="Arial" w:hAnsi="Arial" w:cs="Arial"/>
          <w:b/>
        </w:rPr>
        <w:t>NORTHERN IRELAND DEPARTMENT OF JUSTICE</w:t>
      </w:r>
      <w:r>
        <w:rPr>
          <w:rFonts w:ascii="Arial" w:hAnsi="Arial" w:cs="Arial"/>
          <w:b/>
        </w:rPr>
        <w:t xml:space="preserve"> PhD RESEARCH STUDENTSHIP</w:t>
      </w:r>
    </w:p>
    <w:p w14:paraId="7D6CD69E" w14:textId="3C8AE292" w:rsidR="00311FE9" w:rsidRPr="000D2747" w:rsidRDefault="00311FE9" w:rsidP="00E04082">
      <w:pPr>
        <w:spacing w:line="240" w:lineRule="auto"/>
        <w:jc w:val="both"/>
        <w:rPr>
          <w:rFonts w:ascii="Arial" w:hAnsi="Arial" w:cs="Arial"/>
          <w:u w:val="single"/>
          <w:lang w:val="en-US"/>
        </w:rPr>
      </w:pPr>
      <w:r>
        <w:rPr>
          <w:rFonts w:ascii="Arial" w:hAnsi="Arial" w:cs="Arial"/>
        </w:rPr>
        <w:t xml:space="preserve">The School of Law is delighted to announce a PhD studentship, funded </w:t>
      </w:r>
      <w:r w:rsidR="00EF24DD">
        <w:rPr>
          <w:rFonts w:ascii="Arial" w:hAnsi="Arial" w:cs="Arial"/>
        </w:rPr>
        <w:t xml:space="preserve">as a Collaborative Studentship </w:t>
      </w:r>
      <w:r>
        <w:rPr>
          <w:rFonts w:ascii="Arial" w:hAnsi="Arial" w:cs="Arial"/>
        </w:rPr>
        <w:t>by t</w:t>
      </w:r>
      <w:r w:rsidR="009A56C6" w:rsidRPr="009A56C6">
        <w:rPr>
          <w:rFonts w:ascii="Arial" w:hAnsi="Arial" w:cs="Arial"/>
        </w:rPr>
        <w:t>he D</w:t>
      </w:r>
      <w:r>
        <w:rPr>
          <w:rFonts w:ascii="Arial" w:hAnsi="Arial" w:cs="Arial"/>
        </w:rPr>
        <w:t>epartment for the Economy (DfE)</w:t>
      </w:r>
      <w:r w:rsidR="002E5B7B">
        <w:rPr>
          <w:rFonts w:ascii="Arial" w:hAnsi="Arial" w:cs="Arial"/>
        </w:rPr>
        <w:t xml:space="preserve"> and </w:t>
      </w:r>
      <w:r w:rsidR="009D2641">
        <w:rPr>
          <w:rFonts w:ascii="Arial" w:hAnsi="Arial" w:cs="Arial"/>
        </w:rPr>
        <w:t xml:space="preserve">the </w:t>
      </w:r>
      <w:r w:rsidR="002B06DD" w:rsidRPr="007B24EF">
        <w:rPr>
          <w:rFonts w:ascii="Arial" w:hAnsi="Arial" w:cs="Arial"/>
          <w:lang w:eastAsia="en-GB"/>
        </w:rPr>
        <w:t>Department of Justice</w:t>
      </w:r>
      <w:r w:rsidR="00BF55D7">
        <w:rPr>
          <w:rFonts w:ascii="Arial" w:hAnsi="Arial" w:cs="Arial"/>
          <w:lang w:eastAsia="en-GB"/>
        </w:rPr>
        <w:t xml:space="preserve"> </w:t>
      </w:r>
      <w:r w:rsidR="000D2747">
        <w:rPr>
          <w:rFonts w:ascii="Arial" w:hAnsi="Arial" w:cs="Arial"/>
          <w:lang w:eastAsia="en-GB"/>
        </w:rPr>
        <w:t>(</w:t>
      </w:r>
      <w:proofErr w:type="spellStart"/>
      <w:r w:rsidR="000D2747">
        <w:rPr>
          <w:rFonts w:ascii="Arial" w:hAnsi="Arial" w:cs="Arial"/>
          <w:lang w:eastAsia="en-GB"/>
        </w:rPr>
        <w:t>DoJ</w:t>
      </w:r>
      <w:proofErr w:type="spellEnd"/>
      <w:r w:rsidR="000D2747">
        <w:rPr>
          <w:rFonts w:ascii="Arial" w:hAnsi="Arial" w:cs="Arial"/>
          <w:lang w:eastAsia="en-GB"/>
        </w:rPr>
        <w:t>)</w:t>
      </w:r>
      <w:r w:rsidR="00DE108E">
        <w:rPr>
          <w:rFonts w:ascii="Arial" w:hAnsi="Arial" w:cs="Arial"/>
          <w:lang w:eastAsia="en-GB"/>
        </w:rPr>
        <w:t>.</w:t>
      </w:r>
      <w:r w:rsidR="002B06DD" w:rsidRPr="007B24EF">
        <w:rPr>
          <w:rFonts w:ascii="Arial" w:hAnsi="Arial" w:cs="Arial"/>
          <w:lang w:eastAsia="en-GB"/>
        </w:rPr>
        <w:t xml:space="preserve"> </w:t>
      </w:r>
      <w:r w:rsidR="001A7038">
        <w:rPr>
          <w:rFonts w:ascii="Arial" w:hAnsi="Arial" w:cs="Arial"/>
        </w:rPr>
        <w:t>The successful candidate will research the topic of ‘</w:t>
      </w:r>
      <w:r w:rsidR="000D2747" w:rsidRPr="007B24EF">
        <w:rPr>
          <w:rFonts w:ascii="Arial" w:hAnsi="Arial" w:cs="Arial"/>
          <w:bCs/>
        </w:rPr>
        <w:t>Sexual History Evidence in Northern Ireland Trials:  Prevalence, Impact and Reform</w:t>
      </w:r>
      <w:r w:rsidR="000D2747" w:rsidRPr="000D2747">
        <w:rPr>
          <w:rFonts w:ascii="Arial" w:hAnsi="Arial" w:cs="Arial"/>
          <w:lang w:val="en-US"/>
        </w:rPr>
        <w:t>’,</w:t>
      </w:r>
      <w:r w:rsidR="000D2747" w:rsidRPr="00BF55D7">
        <w:rPr>
          <w:rFonts w:ascii="Arial" w:hAnsi="Arial" w:cs="Arial"/>
          <w:lang w:val="en-US"/>
        </w:rPr>
        <w:t xml:space="preserve"> </w:t>
      </w:r>
      <w:r w:rsidR="00EF24DD">
        <w:rPr>
          <w:rFonts w:ascii="Arial" w:hAnsi="Arial" w:cs="Arial"/>
        </w:rPr>
        <w:t>spending part of their time on placement at</w:t>
      </w:r>
      <w:r w:rsidR="000D2747">
        <w:rPr>
          <w:rFonts w:ascii="Arial" w:hAnsi="Arial" w:cs="Arial"/>
        </w:rPr>
        <w:t xml:space="preserve"> </w:t>
      </w:r>
      <w:proofErr w:type="spellStart"/>
      <w:r w:rsidR="000D2747">
        <w:rPr>
          <w:rFonts w:ascii="Arial" w:hAnsi="Arial" w:cs="Arial"/>
        </w:rPr>
        <w:t>DoJ</w:t>
      </w:r>
      <w:proofErr w:type="spellEnd"/>
      <w:r w:rsidR="00EF24DD">
        <w:rPr>
          <w:rFonts w:ascii="Arial" w:hAnsi="Arial" w:cs="Arial"/>
        </w:rPr>
        <w:t xml:space="preserve"> as an integral part of their research.</w:t>
      </w:r>
    </w:p>
    <w:p w14:paraId="537264DB" w14:textId="77777777" w:rsidR="00311FE9" w:rsidRPr="00311FE9" w:rsidRDefault="00311FE9" w:rsidP="00E04082">
      <w:pPr>
        <w:spacing w:line="240" w:lineRule="auto"/>
        <w:jc w:val="both"/>
        <w:rPr>
          <w:rFonts w:ascii="Arial" w:hAnsi="Arial" w:cs="Arial"/>
          <w:b/>
        </w:rPr>
      </w:pPr>
      <w:r w:rsidRPr="00311FE9">
        <w:rPr>
          <w:rFonts w:ascii="Arial" w:hAnsi="Arial" w:cs="Arial"/>
          <w:b/>
        </w:rPr>
        <w:t>WHAT THE STUDENTSHIP WILL COVER:</w:t>
      </w:r>
    </w:p>
    <w:p w14:paraId="66941054" w14:textId="4AF7A605" w:rsidR="009A56C6" w:rsidRDefault="009A56C6" w:rsidP="00311FE9">
      <w:pPr>
        <w:pStyle w:val="ListParagraph"/>
        <w:numPr>
          <w:ilvl w:val="0"/>
          <w:numId w:val="2"/>
        </w:numPr>
        <w:spacing w:line="240" w:lineRule="auto"/>
        <w:jc w:val="both"/>
        <w:rPr>
          <w:rFonts w:ascii="Arial" w:hAnsi="Arial" w:cs="Arial"/>
        </w:rPr>
      </w:pPr>
      <w:r w:rsidRPr="00311FE9">
        <w:rPr>
          <w:rFonts w:ascii="Arial" w:hAnsi="Arial" w:cs="Arial"/>
        </w:rPr>
        <w:t xml:space="preserve">The funded studentship </w:t>
      </w:r>
      <w:r w:rsidR="00196645">
        <w:rPr>
          <w:rFonts w:ascii="Arial" w:hAnsi="Arial" w:cs="Arial"/>
        </w:rPr>
        <w:t xml:space="preserve">may </w:t>
      </w:r>
      <w:r w:rsidR="002E5B7B">
        <w:rPr>
          <w:rFonts w:ascii="Arial" w:hAnsi="Arial" w:cs="Arial"/>
        </w:rPr>
        <w:t xml:space="preserve">cover </w:t>
      </w:r>
      <w:r w:rsidR="00125B18">
        <w:rPr>
          <w:rFonts w:ascii="Arial" w:hAnsi="Arial" w:cs="Arial"/>
        </w:rPr>
        <w:t>UK</w:t>
      </w:r>
      <w:r w:rsidR="00BB2EDA">
        <w:rPr>
          <w:rFonts w:ascii="Arial" w:hAnsi="Arial" w:cs="Arial"/>
        </w:rPr>
        <w:t xml:space="preserve"> </w:t>
      </w:r>
      <w:r w:rsidR="002E5B7B">
        <w:rPr>
          <w:rFonts w:ascii="Arial" w:hAnsi="Arial" w:cs="Arial"/>
        </w:rPr>
        <w:t>tuition fees, plus a</w:t>
      </w:r>
      <w:r w:rsidR="00125B18">
        <w:rPr>
          <w:rFonts w:ascii="Arial" w:hAnsi="Arial" w:cs="Arial"/>
        </w:rPr>
        <w:t>n enhanced DfE</w:t>
      </w:r>
      <w:r w:rsidR="002E5B7B">
        <w:rPr>
          <w:rFonts w:ascii="Arial" w:hAnsi="Arial" w:cs="Arial"/>
        </w:rPr>
        <w:t xml:space="preserve"> stipend</w:t>
      </w:r>
      <w:r w:rsidR="001A7038">
        <w:rPr>
          <w:rFonts w:ascii="Arial" w:hAnsi="Arial" w:cs="Arial"/>
        </w:rPr>
        <w:t>, for</w:t>
      </w:r>
      <w:r w:rsidR="00196645">
        <w:rPr>
          <w:rFonts w:ascii="Arial" w:hAnsi="Arial" w:cs="Arial"/>
        </w:rPr>
        <w:t xml:space="preserve"> a maximum of</w:t>
      </w:r>
      <w:r w:rsidR="001A7038">
        <w:rPr>
          <w:rFonts w:ascii="Arial" w:hAnsi="Arial" w:cs="Arial"/>
        </w:rPr>
        <w:t xml:space="preserve"> three years.</w:t>
      </w:r>
      <w:r w:rsidR="00125B18">
        <w:rPr>
          <w:rFonts w:ascii="Arial" w:hAnsi="Arial" w:cs="Arial"/>
        </w:rPr>
        <w:t xml:space="preserve"> </w:t>
      </w:r>
      <w:r w:rsidR="00196645" w:rsidRPr="00196645">
        <w:rPr>
          <w:rFonts w:ascii="Arial" w:hAnsi="Arial" w:cs="Arial"/>
        </w:rPr>
        <w:t>For further details re eligibility criteria (including academic, citizenship and residency criteria) please click on the </w:t>
      </w:r>
      <w:hyperlink r:id="rId6" w:history="1">
        <w:r w:rsidR="00196645" w:rsidRPr="00196645">
          <w:rPr>
            <w:rStyle w:val="Hyperlink"/>
            <w:rFonts w:ascii="Arial" w:hAnsi="Arial" w:cs="Arial"/>
          </w:rPr>
          <w:t>DfE Research Eligibility Guidance Notes</w:t>
        </w:r>
      </w:hyperlink>
      <w:r w:rsidR="00196645" w:rsidRPr="00196645">
        <w:rPr>
          <w:rFonts w:ascii="Arial" w:hAnsi="Arial" w:cs="Arial"/>
        </w:rPr>
        <w:t>.</w:t>
      </w:r>
    </w:p>
    <w:p w14:paraId="5943607F" w14:textId="62622F6D" w:rsidR="001A7038" w:rsidRPr="009D2641" w:rsidRDefault="001A7038" w:rsidP="00311FE9">
      <w:pPr>
        <w:pStyle w:val="ListParagraph"/>
        <w:numPr>
          <w:ilvl w:val="0"/>
          <w:numId w:val="2"/>
        </w:numPr>
        <w:spacing w:line="240" w:lineRule="auto"/>
        <w:jc w:val="both"/>
        <w:rPr>
          <w:rFonts w:ascii="Arial" w:hAnsi="Arial" w:cs="Arial"/>
        </w:rPr>
      </w:pPr>
      <w:r w:rsidRPr="009D2641">
        <w:rPr>
          <w:rFonts w:ascii="Arial" w:hAnsi="Arial" w:cs="Arial"/>
        </w:rPr>
        <w:t xml:space="preserve">The researcher will, alongside the normal facilities available in the School of Law and the Graduate School, have access to desk space at </w:t>
      </w:r>
      <w:r w:rsidR="009D2641" w:rsidRPr="009D2641">
        <w:rPr>
          <w:rFonts w:ascii="Arial" w:hAnsi="Arial" w:cs="Arial"/>
        </w:rPr>
        <w:t xml:space="preserve">the </w:t>
      </w:r>
      <w:proofErr w:type="spellStart"/>
      <w:r w:rsidR="009D2641" w:rsidRPr="009D2641">
        <w:rPr>
          <w:rFonts w:ascii="Arial" w:hAnsi="Arial" w:cs="Arial"/>
        </w:rPr>
        <w:t>DoJ</w:t>
      </w:r>
      <w:proofErr w:type="spellEnd"/>
      <w:r w:rsidRPr="009D2641">
        <w:rPr>
          <w:rFonts w:ascii="Arial" w:hAnsi="Arial" w:cs="Arial"/>
        </w:rPr>
        <w:t xml:space="preserve">, engagement with </w:t>
      </w:r>
      <w:r w:rsidR="00BF55D7">
        <w:rPr>
          <w:rFonts w:ascii="Arial" w:hAnsi="Arial" w:cs="Arial"/>
        </w:rPr>
        <w:t xml:space="preserve">staff from the </w:t>
      </w:r>
      <w:r w:rsidR="00BF55D7" w:rsidRPr="007B24EF">
        <w:rPr>
          <w:rFonts w:ascii="Arial" w:hAnsi="Arial" w:cs="Arial"/>
          <w:lang w:eastAsia="en-GB"/>
        </w:rPr>
        <w:t xml:space="preserve">Gillen </w:t>
      </w:r>
      <w:r w:rsidR="00BF55D7">
        <w:rPr>
          <w:rFonts w:ascii="Arial" w:hAnsi="Arial" w:cs="Arial"/>
        </w:rPr>
        <w:t xml:space="preserve">Review </w:t>
      </w:r>
      <w:r w:rsidR="00BF55D7" w:rsidRPr="007B24EF">
        <w:rPr>
          <w:rFonts w:ascii="Arial" w:hAnsi="Arial" w:cs="Arial"/>
          <w:lang w:eastAsia="en-GB"/>
        </w:rPr>
        <w:t>Implementation Team</w:t>
      </w:r>
      <w:r w:rsidR="00BF55D7">
        <w:rPr>
          <w:rFonts w:ascii="Arial" w:hAnsi="Arial" w:cs="Arial"/>
        </w:rPr>
        <w:t xml:space="preserve"> </w:t>
      </w:r>
      <w:r w:rsidR="002610D0">
        <w:rPr>
          <w:rFonts w:ascii="Arial" w:hAnsi="Arial" w:cs="Arial"/>
        </w:rPr>
        <w:t>(</w:t>
      </w:r>
      <w:r w:rsidR="00BF55D7" w:rsidRPr="007B24EF">
        <w:rPr>
          <w:rFonts w:ascii="Arial" w:hAnsi="Arial" w:cs="Arial"/>
        </w:rPr>
        <w:t>the Team responsible for taking forward the 253 recommendations in the 2019</w:t>
      </w:r>
      <w:r w:rsidR="00BF55D7" w:rsidRPr="007B24EF">
        <w:rPr>
          <w:rFonts w:ascii="Arial" w:hAnsi="Arial" w:cs="Arial"/>
          <w:bCs/>
        </w:rPr>
        <w:t xml:space="preserve"> high profile review into sexual offence trials in Northern Ireland led by Sir John Gillen</w:t>
      </w:r>
      <w:r w:rsidR="002610D0">
        <w:rPr>
          <w:rFonts w:ascii="Arial" w:hAnsi="Arial" w:cs="Arial"/>
          <w:bCs/>
        </w:rPr>
        <w:t xml:space="preserve">), </w:t>
      </w:r>
      <w:r w:rsidR="00DE108E">
        <w:rPr>
          <w:rFonts w:ascii="Arial" w:hAnsi="Arial" w:cs="Arial"/>
          <w:bCs/>
        </w:rPr>
        <w:softHyphen/>
      </w:r>
      <w:r w:rsidR="002610D0">
        <w:rPr>
          <w:rFonts w:ascii="Arial" w:hAnsi="Arial" w:cs="Arial"/>
          <w:bCs/>
        </w:rPr>
        <w:t xml:space="preserve">and </w:t>
      </w:r>
      <w:r w:rsidR="009D2641" w:rsidRPr="009D2641">
        <w:rPr>
          <w:rFonts w:ascii="Arial" w:hAnsi="Arial" w:cs="Arial"/>
        </w:rPr>
        <w:t xml:space="preserve">direct access to the </w:t>
      </w:r>
      <w:r w:rsidR="00F570C3">
        <w:rPr>
          <w:rFonts w:ascii="Arial" w:hAnsi="Arial" w:cs="Arial"/>
        </w:rPr>
        <w:t>c</w:t>
      </w:r>
      <w:r w:rsidR="009D2641" w:rsidRPr="009D2641">
        <w:rPr>
          <w:rFonts w:ascii="Arial" w:hAnsi="Arial" w:cs="Arial"/>
        </w:rPr>
        <w:t xml:space="preserve">riminal </w:t>
      </w:r>
      <w:r w:rsidR="00F570C3">
        <w:rPr>
          <w:rFonts w:ascii="Arial" w:hAnsi="Arial" w:cs="Arial"/>
        </w:rPr>
        <w:t>j</w:t>
      </w:r>
      <w:r w:rsidR="009D2641" w:rsidRPr="009D2641">
        <w:rPr>
          <w:rFonts w:ascii="Arial" w:hAnsi="Arial" w:cs="Arial"/>
        </w:rPr>
        <w:t>ustice system and its partners</w:t>
      </w:r>
      <w:r w:rsidR="009D2641">
        <w:rPr>
          <w:rFonts w:ascii="Arial" w:hAnsi="Arial" w:cs="Arial"/>
        </w:rPr>
        <w:t>. They will have</w:t>
      </w:r>
      <w:r w:rsidR="009D2641" w:rsidRPr="009D2641">
        <w:rPr>
          <w:rFonts w:ascii="Arial" w:hAnsi="Arial" w:cs="Arial"/>
        </w:rPr>
        <w:t xml:space="preserve"> access to sensitive criminal case information and work alongside a statistician within the </w:t>
      </w:r>
      <w:proofErr w:type="spellStart"/>
      <w:r w:rsidR="00CF182D">
        <w:rPr>
          <w:rFonts w:ascii="Arial" w:hAnsi="Arial" w:cs="Arial"/>
        </w:rPr>
        <w:t>DoJ</w:t>
      </w:r>
      <w:proofErr w:type="spellEnd"/>
      <w:r w:rsidR="00CF182D">
        <w:rPr>
          <w:rFonts w:ascii="Arial" w:hAnsi="Arial" w:cs="Arial"/>
        </w:rPr>
        <w:t xml:space="preserve"> </w:t>
      </w:r>
      <w:r w:rsidR="009D2641" w:rsidRPr="009D2641">
        <w:rPr>
          <w:rFonts w:ascii="Arial" w:hAnsi="Arial" w:cs="Arial"/>
        </w:rPr>
        <w:t xml:space="preserve">to analyse the data.  </w:t>
      </w:r>
    </w:p>
    <w:p w14:paraId="08D9DD41" w14:textId="3B475961" w:rsidR="001A7038" w:rsidRDefault="00E04082" w:rsidP="00E04082">
      <w:pPr>
        <w:spacing w:line="240" w:lineRule="auto"/>
        <w:jc w:val="both"/>
        <w:rPr>
          <w:rFonts w:ascii="Arial" w:hAnsi="Arial" w:cs="Arial"/>
        </w:rPr>
      </w:pPr>
      <w:r w:rsidRPr="00E04082">
        <w:rPr>
          <w:rFonts w:ascii="Arial" w:hAnsi="Arial" w:cs="Arial"/>
        </w:rPr>
        <w:t>To apply, please complete an application form on the Queen’s University</w:t>
      </w:r>
      <w:r w:rsidRPr="00E04082">
        <w:rPr>
          <w:rFonts w:ascii="Arial" w:hAnsi="Arial" w:cs="Arial"/>
          <w:b/>
          <w:bCs/>
        </w:rPr>
        <w:t> </w:t>
      </w:r>
      <w:hyperlink r:id="rId7" w:history="1">
        <w:r w:rsidRPr="00E04082">
          <w:rPr>
            <w:rStyle w:val="Hyperlink"/>
            <w:rFonts w:ascii="Arial" w:hAnsi="Arial" w:cs="Arial"/>
            <w:b/>
            <w:bCs/>
          </w:rPr>
          <w:t>Postgraduate Applications Portal</w:t>
        </w:r>
      </w:hyperlink>
      <w:r w:rsidR="002B7251">
        <w:rPr>
          <w:rFonts w:ascii="Arial" w:hAnsi="Arial" w:cs="Arial"/>
        </w:rPr>
        <w:t xml:space="preserve"> </w:t>
      </w:r>
      <w:r w:rsidR="00311FE9">
        <w:rPr>
          <w:rFonts w:ascii="Arial" w:hAnsi="Arial" w:cs="Arial"/>
        </w:rPr>
        <w:t xml:space="preserve">including </w:t>
      </w:r>
      <w:r w:rsidR="00311FE9" w:rsidRPr="00A1062D">
        <w:rPr>
          <w:rFonts w:ascii="Arial" w:hAnsi="Arial" w:cs="Arial"/>
          <w:u w:val="single"/>
        </w:rPr>
        <w:t>a</w:t>
      </w:r>
      <w:r w:rsidRPr="00A1062D">
        <w:rPr>
          <w:rFonts w:ascii="Arial" w:hAnsi="Arial" w:cs="Arial"/>
          <w:u w:val="single"/>
        </w:rPr>
        <w:t xml:space="preserve"> curriculum vitae (CV) a</w:t>
      </w:r>
      <w:r w:rsidR="00196963" w:rsidRPr="00A1062D">
        <w:rPr>
          <w:rFonts w:ascii="Arial" w:hAnsi="Arial" w:cs="Arial"/>
          <w:u w:val="single"/>
        </w:rPr>
        <w:t xml:space="preserve">nd a </w:t>
      </w:r>
      <w:r w:rsidR="00D0586C" w:rsidRPr="00A1062D">
        <w:rPr>
          <w:rFonts w:ascii="Arial" w:hAnsi="Arial" w:cs="Arial"/>
          <w:u w:val="single"/>
        </w:rPr>
        <w:t xml:space="preserve">proposal </w:t>
      </w:r>
      <w:r w:rsidR="00196963" w:rsidRPr="00A1062D">
        <w:rPr>
          <w:rFonts w:ascii="Arial" w:hAnsi="Arial" w:cs="Arial"/>
          <w:u w:val="single"/>
        </w:rPr>
        <w:t xml:space="preserve">of </w:t>
      </w:r>
      <w:r w:rsidR="002E5B7B" w:rsidRPr="00A1062D">
        <w:rPr>
          <w:rFonts w:ascii="Arial" w:hAnsi="Arial" w:cs="Arial"/>
          <w:u w:val="single"/>
        </w:rPr>
        <w:t xml:space="preserve">up to </w:t>
      </w:r>
      <w:r w:rsidR="00196963" w:rsidRPr="00A1062D">
        <w:rPr>
          <w:rFonts w:ascii="Arial" w:hAnsi="Arial" w:cs="Arial"/>
          <w:u w:val="single"/>
        </w:rPr>
        <w:t>1</w:t>
      </w:r>
      <w:r w:rsidR="008760BB" w:rsidRPr="00A1062D">
        <w:rPr>
          <w:rFonts w:ascii="Arial" w:hAnsi="Arial" w:cs="Arial"/>
          <w:u w:val="single"/>
        </w:rPr>
        <w:t>000</w:t>
      </w:r>
      <w:r w:rsidR="00196963" w:rsidRPr="00A1062D">
        <w:rPr>
          <w:rFonts w:ascii="Arial" w:hAnsi="Arial" w:cs="Arial"/>
          <w:u w:val="single"/>
        </w:rPr>
        <w:t> </w:t>
      </w:r>
      <w:r w:rsidRPr="00A1062D">
        <w:rPr>
          <w:rFonts w:ascii="Arial" w:hAnsi="Arial" w:cs="Arial"/>
          <w:u w:val="single"/>
        </w:rPr>
        <w:t>words</w:t>
      </w:r>
      <w:r w:rsidR="00D0586C" w:rsidRPr="00A1062D">
        <w:rPr>
          <w:rFonts w:ascii="Arial" w:hAnsi="Arial" w:cs="Arial"/>
          <w:u w:val="single"/>
        </w:rPr>
        <w:t xml:space="preserve"> (including references but excluding bibliography)</w:t>
      </w:r>
      <w:r w:rsidR="002B7251" w:rsidRPr="00A1062D">
        <w:rPr>
          <w:rFonts w:ascii="Arial" w:hAnsi="Arial" w:cs="Arial"/>
          <w:u w:val="single"/>
        </w:rPr>
        <w:t>.</w:t>
      </w:r>
      <w:r w:rsidR="001A7038">
        <w:rPr>
          <w:rFonts w:ascii="Arial" w:hAnsi="Arial" w:cs="Arial"/>
        </w:rPr>
        <w:t xml:space="preserve"> In the </w:t>
      </w:r>
      <w:r w:rsidR="0060031B">
        <w:rPr>
          <w:rFonts w:ascii="Arial" w:hAnsi="Arial" w:cs="Arial"/>
        </w:rPr>
        <w:t>proposal</w:t>
      </w:r>
      <w:r w:rsidR="001A7038">
        <w:rPr>
          <w:rFonts w:ascii="Arial" w:hAnsi="Arial" w:cs="Arial"/>
        </w:rPr>
        <w:t xml:space="preserve">, applicants should demonstrate </w:t>
      </w:r>
      <w:r w:rsidR="001A7038" w:rsidRPr="001A7038">
        <w:rPr>
          <w:rFonts w:ascii="Arial" w:hAnsi="Arial" w:cs="Arial"/>
        </w:rPr>
        <w:t xml:space="preserve">their understanding of key concepts and literature regarding </w:t>
      </w:r>
      <w:r w:rsidR="000D2747">
        <w:rPr>
          <w:rFonts w:ascii="Arial" w:hAnsi="Arial" w:cs="Arial"/>
        </w:rPr>
        <w:t>the law governing sexual history evidence and the recommendations made in the 2019 Gillen Review in</w:t>
      </w:r>
      <w:r w:rsidR="00BF55D7">
        <w:rPr>
          <w:rFonts w:ascii="Arial" w:hAnsi="Arial" w:cs="Arial"/>
        </w:rPr>
        <w:t xml:space="preserve"> respect of this</w:t>
      </w:r>
      <w:r w:rsidR="00D0586C">
        <w:rPr>
          <w:rFonts w:ascii="Arial" w:hAnsi="Arial" w:cs="Arial"/>
        </w:rPr>
        <w:t xml:space="preserve"> specific evidential</w:t>
      </w:r>
      <w:r w:rsidR="00BF55D7">
        <w:rPr>
          <w:rFonts w:ascii="Arial" w:hAnsi="Arial" w:cs="Arial"/>
        </w:rPr>
        <w:t xml:space="preserve"> issue</w:t>
      </w:r>
      <w:r w:rsidR="000D2747">
        <w:rPr>
          <w:rFonts w:ascii="Arial" w:hAnsi="Arial" w:cs="Arial"/>
        </w:rPr>
        <w:t>,</w:t>
      </w:r>
      <w:r w:rsidR="001A7038" w:rsidRPr="001A7038">
        <w:rPr>
          <w:rFonts w:ascii="Arial" w:hAnsi="Arial" w:cs="Arial"/>
        </w:rPr>
        <w:t xml:space="preserve"> commenting on the research approaches and methods they would wish to use if awarded this studentship. </w:t>
      </w:r>
    </w:p>
    <w:p w14:paraId="2909B66B" w14:textId="2D1567A7" w:rsidR="009A56C6" w:rsidRDefault="009A56C6" w:rsidP="00E04082">
      <w:pPr>
        <w:spacing w:line="240" w:lineRule="auto"/>
        <w:jc w:val="both"/>
        <w:rPr>
          <w:rFonts w:ascii="Arial" w:hAnsi="Arial" w:cs="Arial"/>
          <w:b/>
          <w:bCs/>
        </w:rPr>
      </w:pPr>
      <w:r w:rsidRPr="009A56C6">
        <w:rPr>
          <w:rFonts w:ascii="Arial" w:hAnsi="Arial" w:cs="Arial"/>
          <w:b/>
          <w:bCs/>
        </w:rPr>
        <w:t>The closin</w:t>
      </w:r>
      <w:r>
        <w:rPr>
          <w:rFonts w:ascii="Arial" w:hAnsi="Arial" w:cs="Arial"/>
          <w:b/>
          <w:bCs/>
        </w:rPr>
        <w:t xml:space="preserve">g date for applications is </w:t>
      </w:r>
      <w:r w:rsidR="00A1062D">
        <w:rPr>
          <w:rFonts w:ascii="Arial" w:hAnsi="Arial" w:cs="Arial"/>
          <w:b/>
          <w:bCs/>
        </w:rPr>
        <w:t>Monday 31</w:t>
      </w:r>
      <w:r w:rsidR="00A1062D" w:rsidRPr="00A1062D">
        <w:rPr>
          <w:rFonts w:ascii="Arial" w:hAnsi="Arial" w:cs="Arial"/>
          <w:b/>
          <w:bCs/>
          <w:vertAlign w:val="superscript"/>
        </w:rPr>
        <w:t>st</w:t>
      </w:r>
      <w:r w:rsidR="00A1062D">
        <w:rPr>
          <w:rFonts w:ascii="Arial" w:hAnsi="Arial" w:cs="Arial"/>
          <w:b/>
          <w:bCs/>
        </w:rPr>
        <w:t xml:space="preserve"> May 2021</w:t>
      </w:r>
      <w:r w:rsidR="008760BB">
        <w:rPr>
          <w:rFonts w:ascii="Arial" w:hAnsi="Arial" w:cs="Arial"/>
          <w:b/>
          <w:bCs/>
        </w:rPr>
        <w:t xml:space="preserve"> at </w:t>
      </w:r>
      <w:r w:rsidR="004D5D5C">
        <w:rPr>
          <w:rFonts w:ascii="Arial" w:hAnsi="Arial" w:cs="Arial"/>
          <w:b/>
          <w:bCs/>
        </w:rPr>
        <w:t>4pm</w:t>
      </w:r>
      <w:r w:rsidR="00A1062D">
        <w:rPr>
          <w:rFonts w:ascii="Arial" w:hAnsi="Arial" w:cs="Arial"/>
          <w:b/>
          <w:bCs/>
        </w:rPr>
        <w:t>.</w:t>
      </w:r>
    </w:p>
    <w:p w14:paraId="74A7FC5D" w14:textId="4EA8E6DA" w:rsidR="002E5B7B" w:rsidRDefault="002E5B7B" w:rsidP="00E04082">
      <w:pPr>
        <w:spacing w:line="240" w:lineRule="auto"/>
        <w:jc w:val="both"/>
        <w:rPr>
          <w:rFonts w:ascii="Arial" w:hAnsi="Arial" w:cs="Arial"/>
          <w:b/>
          <w:bCs/>
        </w:rPr>
      </w:pPr>
      <w:r>
        <w:rPr>
          <w:rFonts w:ascii="Arial" w:hAnsi="Arial" w:cs="Arial"/>
          <w:b/>
          <w:bCs/>
        </w:rPr>
        <w:t xml:space="preserve">Shortlisted candidates will be interviewed (online) during </w:t>
      </w:r>
      <w:r w:rsidR="008760BB">
        <w:rPr>
          <w:rFonts w:ascii="Arial" w:hAnsi="Arial" w:cs="Arial"/>
          <w:b/>
          <w:bCs/>
        </w:rPr>
        <w:t>June</w:t>
      </w:r>
      <w:r w:rsidR="00EC7CA4">
        <w:rPr>
          <w:rFonts w:ascii="Arial" w:hAnsi="Arial" w:cs="Arial"/>
          <w:b/>
          <w:bCs/>
        </w:rPr>
        <w:t xml:space="preserve"> </w:t>
      </w:r>
      <w:r>
        <w:rPr>
          <w:rFonts w:ascii="Arial" w:hAnsi="Arial" w:cs="Arial"/>
          <w:b/>
          <w:bCs/>
        </w:rPr>
        <w:t>at a time and date to be arranged.</w:t>
      </w:r>
    </w:p>
    <w:p w14:paraId="6B895F4A" w14:textId="7C1E52F6" w:rsidR="00E112DE" w:rsidRDefault="005444B4" w:rsidP="00E04082">
      <w:pPr>
        <w:spacing w:line="240" w:lineRule="auto"/>
        <w:jc w:val="both"/>
        <w:rPr>
          <w:rFonts w:ascii="Arial" w:hAnsi="Arial" w:cs="Arial"/>
          <w:b/>
          <w:bCs/>
        </w:rPr>
      </w:pPr>
      <w:r>
        <w:rPr>
          <w:rFonts w:ascii="Arial" w:hAnsi="Arial" w:cs="Arial"/>
          <w:b/>
          <w:bCs/>
        </w:rPr>
        <w:t xml:space="preserve">Candidates will be notified by </w:t>
      </w:r>
      <w:r w:rsidR="000019DD">
        <w:rPr>
          <w:rFonts w:ascii="Arial" w:hAnsi="Arial" w:cs="Arial"/>
          <w:b/>
          <w:bCs/>
        </w:rPr>
        <w:t xml:space="preserve">the end of </w:t>
      </w:r>
      <w:r w:rsidR="008760BB">
        <w:rPr>
          <w:rFonts w:ascii="Arial" w:hAnsi="Arial" w:cs="Arial"/>
          <w:b/>
          <w:bCs/>
        </w:rPr>
        <w:t>Ju</w:t>
      </w:r>
      <w:r w:rsidR="00EC7CA4">
        <w:rPr>
          <w:rFonts w:ascii="Arial" w:hAnsi="Arial" w:cs="Arial"/>
          <w:b/>
          <w:bCs/>
        </w:rPr>
        <w:t>ne/beginning of July</w:t>
      </w:r>
      <w:r w:rsidR="008760BB">
        <w:rPr>
          <w:rFonts w:ascii="Arial" w:hAnsi="Arial" w:cs="Arial"/>
          <w:b/>
          <w:bCs/>
        </w:rPr>
        <w:t xml:space="preserve"> </w:t>
      </w:r>
      <w:r w:rsidR="00EC7CA4">
        <w:rPr>
          <w:rFonts w:ascii="Arial" w:hAnsi="Arial" w:cs="Arial"/>
          <w:b/>
          <w:bCs/>
        </w:rPr>
        <w:t>o</w:t>
      </w:r>
      <w:r w:rsidR="00E112DE">
        <w:rPr>
          <w:rFonts w:ascii="Arial" w:hAnsi="Arial" w:cs="Arial"/>
          <w:b/>
          <w:bCs/>
        </w:rPr>
        <w:t xml:space="preserve">f the outcome of their application. </w:t>
      </w:r>
    </w:p>
    <w:p w14:paraId="10197C1E" w14:textId="6556FD49" w:rsidR="009A56C6" w:rsidRDefault="00125B18" w:rsidP="00E112DE">
      <w:pPr>
        <w:spacing w:line="240" w:lineRule="auto"/>
        <w:rPr>
          <w:rFonts w:ascii="Arial" w:hAnsi="Arial" w:cs="Arial"/>
          <w:color w:val="FF0000"/>
        </w:rPr>
      </w:pPr>
      <w:r>
        <w:rPr>
          <w:rFonts w:ascii="Arial" w:hAnsi="Arial" w:cs="Arial"/>
          <w:b/>
          <w:bCs/>
          <w:color w:val="FF0000"/>
        </w:rPr>
        <w:t>Please insert the code LAWDOJ</w:t>
      </w:r>
      <w:r w:rsidR="00F570C3">
        <w:rPr>
          <w:rFonts w:ascii="Arial" w:hAnsi="Arial" w:cs="Arial"/>
          <w:b/>
          <w:bCs/>
          <w:color w:val="FF0000"/>
        </w:rPr>
        <w:t xml:space="preserve"> </w:t>
      </w:r>
      <w:r w:rsidR="00311FE9">
        <w:rPr>
          <w:rFonts w:ascii="Arial" w:hAnsi="Arial" w:cs="Arial"/>
          <w:b/>
          <w:bCs/>
          <w:color w:val="FF0000"/>
        </w:rPr>
        <w:t>into the Funding section within your application form.</w:t>
      </w:r>
    </w:p>
    <w:p w14:paraId="3CBB4378" w14:textId="77777777" w:rsidR="00311FE9" w:rsidRDefault="00311FE9" w:rsidP="00520E8C">
      <w:pPr>
        <w:spacing w:line="240" w:lineRule="auto"/>
        <w:jc w:val="both"/>
        <w:rPr>
          <w:rFonts w:ascii="Arial" w:hAnsi="Arial" w:cs="Arial"/>
          <w:b/>
        </w:rPr>
      </w:pPr>
      <w:r w:rsidRPr="00311FE9">
        <w:rPr>
          <w:rFonts w:ascii="Arial" w:hAnsi="Arial" w:cs="Arial"/>
          <w:b/>
        </w:rPr>
        <w:t xml:space="preserve">ELIGIBILITY </w:t>
      </w:r>
    </w:p>
    <w:p w14:paraId="771831C0" w14:textId="77777777" w:rsidR="00311FE9" w:rsidRPr="00311FE9" w:rsidRDefault="00311FE9" w:rsidP="00520E8C">
      <w:pPr>
        <w:numPr>
          <w:ilvl w:val="0"/>
          <w:numId w:val="3"/>
        </w:numPr>
        <w:spacing w:line="240" w:lineRule="auto"/>
        <w:jc w:val="both"/>
        <w:rPr>
          <w:rFonts w:ascii="Arial" w:hAnsi="Arial" w:cs="Arial"/>
          <w:lang w:val="en"/>
        </w:rPr>
      </w:pPr>
      <w:r w:rsidRPr="00311FE9">
        <w:rPr>
          <w:rFonts w:ascii="Arial" w:hAnsi="Arial" w:cs="Arial"/>
          <w:lang w:val="en"/>
        </w:rPr>
        <w:t xml:space="preserve">UK residents: fees plus </w:t>
      </w:r>
      <w:r w:rsidR="002E5B7B">
        <w:rPr>
          <w:rFonts w:ascii="Arial" w:hAnsi="Arial" w:cs="Arial"/>
          <w:lang w:val="en"/>
        </w:rPr>
        <w:t>stipend</w:t>
      </w:r>
      <w:r w:rsidRPr="00311FE9">
        <w:rPr>
          <w:rFonts w:ascii="Arial" w:hAnsi="Arial" w:cs="Arial"/>
          <w:lang w:val="en"/>
        </w:rPr>
        <w:t>. </w:t>
      </w:r>
    </w:p>
    <w:p w14:paraId="763986D0" w14:textId="77777777" w:rsidR="00D161E4" w:rsidRDefault="00311FE9" w:rsidP="00520E8C">
      <w:pPr>
        <w:numPr>
          <w:ilvl w:val="0"/>
          <w:numId w:val="3"/>
        </w:numPr>
        <w:spacing w:line="240" w:lineRule="auto"/>
        <w:jc w:val="both"/>
        <w:rPr>
          <w:rFonts w:ascii="Arial" w:hAnsi="Arial" w:cs="Arial"/>
          <w:lang w:val="en"/>
        </w:rPr>
      </w:pPr>
      <w:r w:rsidRPr="00311FE9">
        <w:rPr>
          <w:rFonts w:ascii="Arial" w:hAnsi="Arial" w:cs="Arial"/>
          <w:lang w:val="en"/>
        </w:rPr>
        <w:t xml:space="preserve">Other EU residents: fees only. </w:t>
      </w:r>
    </w:p>
    <w:p w14:paraId="2C108E20" w14:textId="77777777" w:rsidR="00196645" w:rsidRDefault="00EF24DD" w:rsidP="00520E8C">
      <w:pPr>
        <w:pStyle w:val="ListParagraph"/>
        <w:numPr>
          <w:ilvl w:val="0"/>
          <w:numId w:val="3"/>
        </w:numPr>
        <w:spacing w:line="240" w:lineRule="auto"/>
        <w:jc w:val="both"/>
        <w:rPr>
          <w:rFonts w:ascii="Arial" w:hAnsi="Arial" w:cs="Arial"/>
          <w:lang w:val="en"/>
        </w:rPr>
      </w:pPr>
      <w:r w:rsidRPr="00EF24DD">
        <w:rPr>
          <w:rFonts w:ascii="Arial" w:hAnsi="Arial" w:cs="Arial"/>
          <w:lang w:val="en"/>
        </w:rPr>
        <w:t>Please note this studentship is not available to international students.</w:t>
      </w:r>
    </w:p>
    <w:p w14:paraId="17F5C157" w14:textId="09BC2BFC" w:rsidR="00EF24DD" w:rsidRDefault="00EF24DD" w:rsidP="00125B18">
      <w:pPr>
        <w:pStyle w:val="ListParagraph"/>
        <w:spacing w:line="240" w:lineRule="auto"/>
        <w:jc w:val="both"/>
        <w:rPr>
          <w:rFonts w:ascii="Arial" w:hAnsi="Arial" w:cs="Arial"/>
          <w:lang w:val="en"/>
        </w:rPr>
      </w:pPr>
    </w:p>
    <w:p w14:paraId="3FAD47DC" w14:textId="31E3422E" w:rsidR="00196645" w:rsidRPr="00125B18" w:rsidRDefault="00196645" w:rsidP="00125B18">
      <w:pPr>
        <w:spacing w:line="240" w:lineRule="auto"/>
        <w:jc w:val="both"/>
        <w:rPr>
          <w:rFonts w:ascii="Arial" w:hAnsi="Arial" w:cs="Arial"/>
          <w:lang w:val="en"/>
        </w:rPr>
      </w:pPr>
      <w:r w:rsidRPr="00125B18">
        <w:rPr>
          <w:rFonts w:ascii="Arial" w:hAnsi="Arial" w:cs="Arial"/>
        </w:rPr>
        <w:lastRenderedPageBreak/>
        <w:t>For further details re eligibility criteria (including academic, citizenship and residency criteria) please click on the </w:t>
      </w:r>
      <w:hyperlink r:id="rId8" w:history="1">
        <w:r w:rsidRPr="00125B18">
          <w:rPr>
            <w:rStyle w:val="Hyperlink"/>
            <w:rFonts w:ascii="Arial" w:hAnsi="Arial" w:cs="Arial"/>
          </w:rPr>
          <w:t>DfE Research Eligibility Guidance Notes</w:t>
        </w:r>
      </w:hyperlink>
    </w:p>
    <w:p w14:paraId="4A06F01C" w14:textId="77777777" w:rsidR="00B45558" w:rsidRDefault="00B45558" w:rsidP="00520E8C">
      <w:pPr>
        <w:numPr>
          <w:ilvl w:val="0"/>
          <w:numId w:val="3"/>
        </w:numPr>
        <w:spacing w:line="240" w:lineRule="auto"/>
        <w:jc w:val="both"/>
        <w:rPr>
          <w:rFonts w:ascii="Arial" w:hAnsi="Arial" w:cs="Arial"/>
          <w:lang w:val="en"/>
        </w:rPr>
      </w:pPr>
      <w:r>
        <w:rPr>
          <w:rFonts w:ascii="Arial" w:hAnsi="Arial" w:cs="Arial"/>
          <w:lang w:val="en"/>
        </w:rPr>
        <w:t>Study can only be undertaken on a full-time basis.</w:t>
      </w:r>
    </w:p>
    <w:p w14:paraId="07364348" w14:textId="35258059" w:rsidR="00EF24DD" w:rsidRDefault="00EF24DD" w:rsidP="00520E8C">
      <w:pPr>
        <w:pStyle w:val="xmsonormal"/>
        <w:numPr>
          <w:ilvl w:val="0"/>
          <w:numId w:val="3"/>
        </w:numPr>
        <w:jc w:val="both"/>
        <w:rPr>
          <w:rFonts w:ascii="Arial" w:hAnsi="Arial" w:cs="Arial"/>
          <w:lang w:val="en-GB"/>
        </w:rPr>
      </w:pPr>
      <w:r>
        <w:rPr>
          <w:rFonts w:ascii="Arial" w:hAnsi="Arial" w:cs="Arial"/>
          <w:lang w:val="en-GB"/>
        </w:rPr>
        <w:t>Qualifications:</w:t>
      </w:r>
    </w:p>
    <w:p w14:paraId="7AB99A4A" w14:textId="77777777" w:rsidR="00125B18" w:rsidRDefault="00125B18" w:rsidP="00125B18">
      <w:pPr>
        <w:pStyle w:val="xmsonormal"/>
        <w:ind w:left="720"/>
        <w:jc w:val="both"/>
        <w:rPr>
          <w:rFonts w:ascii="Arial" w:hAnsi="Arial" w:cs="Arial"/>
          <w:lang w:val="en-GB"/>
        </w:rPr>
      </w:pPr>
    </w:p>
    <w:p w14:paraId="47BFE438" w14:textId="77777777" w:rsidR="00212E90" w:rsidRPr="00212E90" w:rsidRDefault="00212E90" w:rsidP="00520E8C">
      <w:pPr>
        <w:pStyle w:val="xmsonormal"/>
        <w:numPr>
          <w:ilvl w:val="1"/>
          <w:numId w:val="3"/>
        </w:numPr>
        <w:jc w:val="both"/>
        <w:rPr>
          <w:rFonts w:ascii="Arial" w:hAnsi="Arial" w:cs="Arial"/>
          <w:lang w:val="en-GB"/>
        </w:rPr>
      </w:pPr>
      <w:r w:rsidRPr="00212E90">
        <w:rPr>
          <w:rFonts w:ascii="Arial" w:hAnsi="Arial" w:cs="Arial"/>
          <w:lang w:val="en-GB"/>
        </w:rPr>
        <w:t xml:space="preserve">An Upper </w:t>
      </w:r>
      <w:proofErr w:type="gramStart"/>
      <w:r w:rsidRPr="00212E90">
        <w:rPr>
          <w:rFonts w:ascii="Arial" w:hAnsi="Arial" w:cs="Arial"/>
          <w:lang w:val="en-GB"/>
        </w:rPr>
        <w:t>Second or First Class</w:t>
      </w:r>
      <w:proofErr w:type="gramEnd"/>
      <w:r w:rsidRPr="00212E90">
        <w:rPr>
          <w:rFonts w:ascii="Arial" w:hAnsi="Arial" w:cs="Arial"/>
          <w:lang w:val="en-GB"/>
        </w:rPr>
        <w:t xml:space="preserve"> Honours degree (or equivalent qualification acceptable to the University) in law or another relevant discipline, plus a Master's degree (or equivalent qualification acceptable to the University) with an average above 60%. </w:t>
      </w:r>
    </w:p>
    <w:p w14:paraId="27A301A0" w14:textId="77777777" w:rsidR="00212E90" w:rsidRPr="00212E90" w:rsidRDefault="00212E90" w:rsidP="00520E8C">
      <w:pPr>
        <w:pStyle w:val="xmsonormal"/>
        <w:ind w:left="720"/>
        <w:jc w:val="both"/>
        <w:rPr>
          <w:rFonts w:ascii="Arial" w:hAnsi="Arial" w:cs="Arial"/>
          <w:lang w:val="en-GB"/>
        </w:rPr>
      </w:pPr>
    </w:p>
    <w:p w14:paraId="33822354" w14:textId="77777777" w:rsidR="00212E90" w:rsidRPr="00212E90" w:rsidRDefault="00212E90" w:rsidP="00520E8C">
      <w:pPr>
        <w:pStyle w:val="xmsonormal"/>
        <w:numPr>
          <w:ilvl w:val="1"/>
          <w:numId w:val="3"/>
        </w:numPr>
        <w:jc w:val="both"/>
        <w:rPr>
          <w:rFonts w:ascii="Arial" w:hAnsi="Arial" w:cs="Arial"/>
          <w:lang w:val="en-GB"/>
        </w:rPr>
      </w:pPr>
      <w:r w:rsidRPr="00212E90">
        <w:rPr>
          <w:rFonts w:ascii="Arial" w:hAnsi="Arial" w:cs="Arial"/>
          <w:lang w:val="en-GB"/>
        </w:rPr>
        <w:t xml:space="preserve">Applicants with an Upper </w:t>
      </w:r>
      <w:proofErr w:type="gramStart"/>
      <w:r w:rsidRPr="00212E90">
        <w:rPr>
          <w:rFonts w:ascii="Arial" w:hAnsi="Arial" w:cs="Arial"/>
          <w:lang w:val="en-GB"/>
        </w:rPr>
        <w:t>Second or First Class</w:t>
      </w:r>
      <w:proofErr w:type="gramEnd"/>
      <w:r w:rsidRPr="00212E90">
        <w:rPr>
          <w:rFonts w:ascii="Arial" w:hAnsi="Arial" w:cs="Arial"/>
          <w:lang w:val="en-GB"/>
        </w:rPr>
        <w:t xml:space="preserve"> Honours degree (or equivalent qualification acceptable to the University) in law or another relevant discipline who are currently studying a Master’s degree (or equivalent qualification acceptable to the University) will also be considered. </w:t>
      </w:r>
    </w:p>
    <w:p w14:paraId="22921CF1" w14:textId="77777777" w:rsidR="00212E90" w:rsidRPr="00212E90" w:rsidRDefault="00212E90" w:rsidP="00520E8C">
      <w:pPr>
        <w:pStyle w:val="xmsonormal"/>
        <w:ind w:left="720"/>
        <w:jc w:val="both"/>
        <w:rPr>
          <w:rFonts w:ascii="Arial" w:hAnsi="Arial" w:cs="Arial"/>
          <w:lang w:val="en-GB"/>
        </w:rPr>
      </w:pPr>
    </w:p>
    <w:p w14:paraId="5A6D11B5" w14:textId="77777777" w:rsidR="00212E90" w:rsidRDefault="00212E90" w:rsidP="00520E8C">
      <w:pPr>
        <w:pStyle w:val="xmsonormal"/>
        <w:numPr>
          <w:ilvl w:val="1"/>
          <w:numId w:val="3"/>
        </w:numPr>
        <w:jc w:val="both"/>
        <w:rPr>
          <w:rFonts w:ascii="Arial" w:hAnsi="Arial" w:cs="Arial"/>
          <w:lang w:val="en-GB"/>
        </w:rPr>
      </w:pPr>
      <w:r w:rsidRPr="00212E90">
        <w:rPr>
          <w:rFonts w:ascii="Arial" w:hAnsi="Arial" w:cs="Arial"/>
          <w:lang w:val="en-GB"/>
        </w:rPr>
        <w:t>Applicants with an Upper Second or First Class Honours degree (or equivalent qualification acceptable to the University) in law or another relevant discipline plus evidence of ability to conduct independent and original research will be considered on a case by case basis.</w:t>
      </w:r>
    </w:p>
    <w:p w14:paraId="254D2386" w14:textId="77777777" w:rsidR="00EF24DD" w:rsidRDefault="00EF24DD" w:rsidP="00520E8C">
      <w:pPr>
        <w:pStyle w:val="ListParagraph"/>
        <w:jc w:val="both"/>
        <w:rPr>
          <w:rFonts w:ascii="Arial" w:hAnsi="Arial" w:cs="Arial"/>
        </w:rPr>
      </w:pPr>
    </w:p>
    <w:p w14:paraId="1B588C32" w14:textId="77777777" w:rsidR="00EF24DD" w:rsidRPr="00EF24DD" w:rsidRDefault="00EF24DD" w:rsidP="00520E8C">
      <w:pPr>
        <w:pStyle w:val="ListParagraph"/>
        <w:numPr>
          <w:ilvl w:val="0"/>
          <w:numId w:val="3"/>
        </w:numPr>
        <w:spacing w:line="240" w:lineRule="auto"/>
        <w:jc w:val="both"/>
        <w:rPr>
          <w:rFonts w:ascii="Arial" w:hAnsi="Arial" w:cs="Arial"/>
          <w:lang w:val="en"/>
        </w:rPr>
      </w:pPr>
      <w:r w:rsidRPr="00EF24DD">
        <w:rPr>
          <w:rFonts w:ascii="Arial" w:hAnsi="Arial" w:cs="Arial"/>
          <w:lang w:val="en"/>
        </w:rPr>
        <w:t xml:space="preserve">For further details re eligibility criteria (including academic, citizenship and residency criteria) please </w:t>
      </w:r>
      <w:r>
        <w:rPr>
          <w:rFonts w:ascii="Arial" w:hAnsi="Arial" w:cs="Arial"/>
          <w:lang w:val="en"/>
        </w:rPr>
        <w:t>see the</w:t>
      </w:r>
      <w:r w:rsidRPr="00EF24DD">
        <w:rPr>
          <w:rFonts w:ascii="Arial" w:hAnsi="Arial" w:cs="Arial"/>
          <w:lang w:val="en"/>
        </w:rPr>
        <w:t xml:space="preserve"> </w:t>
      </w:r>
      <w:hyperlink r:id="rId9" w:history="1">
        <w:r>
          <w:rPr>
            <w:rStyle w:val="Hyperlink"/>
            <w:rFonts w:ascii="Arial" w:hAnsi="Arial" w:cs="Arial"/>
            <w:b/>
            <w:lang w:val="en"/>
          </w:rPr>
          <w:t xml:space="preserve">DfE </w:t>
        </w:r>
        <w:r w:rsidRPr="00EF24DD">
          <w:rPr>
            <w:rStyle w:val="Hyperlink"/>
            <w:rFonts w:ascii="Arial" w:hAnsi="Arial" w:cs="Arial"/>
            <w:b/>
            <w:lang w:val="en"/>
          </w:rPr>
          <w:t>Research Eligibility Guidance Notes</w:t>
        </w:r>
      </w:hyperlink>
      <w:r w:rsidRPr="00EF24DD">
        <w:rPr>
          <w:rFonts w:ascii="Arial" w:hAnsi="Arial" w:cs="Arial"/>
          <w:b/>
          <w:lang w:val="en"/>
        </w:rPr>
        <w:t>.</w:t>
      </w:r>
    </w:p>
    <w:p w14:paraId="2F071CB4" w14:textId="77777777" w:rsidR="00212E90" w:rsidRPr="00212E90" w:rsidRDefault="00212E90" w:rsidP="00212E90">
      <w:pPr>
        <w:pStyle w:val="ListParagraph"/>
        <w:rPr>
          <w:rFonts w:ascii="Arial" w:hAnsi="Arial" w:cs="Arial"/>
          <w:lang w:val="en-US"/>
        </w:rPr>
      </w:pPr>
    </w:p>
    <w:p w14:paraId="3EE4E441" w14:textId="77777777" w:rsidR="00A714DE" w:rsidRPr="00311FE9" w:rsidRDefault="00A714DE" w:rsidP="00E04082">
      <w:pPr>
        <w:spacing w:line="240" w:lineRule="auto"/>
        <w:jc w:val="both"/>
        <w:rPr>
          <w:rFonts w:ascii="Arial" w:hAnsi="Arial" w:cs="Arial"/>
          <w:b/>
        </w:rPr>
      </w:pPr>
      <w:r w:rsidRPr="003306B6">
        <w:rPr>
          <w:rFonts w:ascii="Arial" w:hAnsi="Arial" w:cs="Arial"/>
          <w:b/>
        </w:rPr>
        <w:t>RESEARCH PROJECT</w:t>
      </w:r>
      <w:r w:rsidR="009A56C6">
        <w:rPr>
          <w:rFonts w:ascii="Arial" w:hAnsi="Arial" w:cs="Arial"/>
          <w:b/>
        </w:rPr>
        <w:t xml:space="preserve"> </w:t>
      </w:r>
    </w:p>
    <w:p w14:paraId="6E157AA9" w14:textId="2430E875" w:rsidR="001C6A97" w:rsidRPr="003306B6" w:rsidRDefault="001C6A97" w:rsidP="000D2747">
      <w:pPr>
        <w:spacing w:line="240" w:lineRule="auto"/>
        <w:jc w:val="both"/>
        <w:rPr>
          <w:rFonts w:ascii="Arial" w:hAnsi="Arial" w:cs="Arial"/>
          <w:u w:val="single"/>
          <w:lang w:val="en-US"/>
        </w:rPr>
      </w:pPr>
      <w:r w:rsidRPr="003306B6">
        <w:rPr>
          <w:rFonts w:ascii="Arial" w:hAnsi="Arial" w:cs="Arial"/>
          <w:u w:val="single"/>
          <w:lang w:val="en-US"/>
        </w:rPr>
        <w:t>Title</w:t>
      </w:r>
      <w:r w:rsidRPr="003306B6">
        <w:rPr>
          <w:rFonts w:ascii="Arial" w:hAnsi="Arial" w:cs="Arial"/>
          <w:lang w:val="en-US"/>
        </w:rPr>
        <w:t xml:space="preserve">: </w:t>
      </w:r>
      <w:r w:rsidR="007B24EF" w:rsidRPr="007B24EF">
        <w:rPr>
          <w:rFonts w:ascii="Arial" w:hAnsi="Arial" w:cs="Arial"/>
          <w:bCs/>
        </w:rPr>
        <w:t>A Critical Evaluation of the Admission of Sexual History Evidence in Northern Ireland Trials:  Prevalence, Impact and Reform</w:t>
      </w:r>
    </w:p>
    <w:p w14:paraId="732272B7" w14:textId="55BC21EC" w:rsidR="007B24EF" w:rsidRPr="007B24EF" w:rsidRDefault="00EF24DD" w:rsidP="000D2747">
      <w:pPr>
        <w:pStyle w:val="NormalWeb"/>
        <w:jc w:val="both"/>
        <w:rPr>
          <w:rFonts w:ascii="Arial" w:hAnsi="Arial" w:cs="Arial"/>
          <w:color w:val="000000"/>
          <w:sz w:val="22"/>
          <w:szCs w:val="22"/>
          <w:lang w:val="en-US"/>
        </w:rPr>
      </w:pPr>
      <w:r w:rsidRPr="001A3093">
        <w:rPr>
          <w:rFonts w:ascii="Arial" w:hAnsi="Arial" w:cs="Arial"/>
          <w:sz w:val="22"/>
          <w:szCs w:val="22"/>
          <w:u w:val="single"/>
          <w:lang w:val="en-US"/>
        </w:rPr>
        <w:t>Summary</w:t>
      </w:r>
      <w:r w:rsidR="001C6A97" w:rsidRPr="001A3093">
        <w:rPr>
          <w:rFonts w:ascii="Arial" w:hAnsi="Arial" w:cs="Arial"/>
          <w:sz w:val="22"/>
          <w:szCs w:val="22"/>
          <w:u w:val="single"/>
          <w:lang w:val="en-US"/>
        </w:rPr>
        <w:t>:</w:t>
      </w:r>
      <w:r w:rsidRPr="001A3093">
        <w:rPr>
          <w:rFonts w:ascii="Arial" w:hAnsi="Arial" w:cs="Arial"/>
          <w:sz w:val="22"/>
          <w:szCs w:val="22"/>
          <w:lang w:val="en-US"/>
        </w:rPr>
        <w:t xml:space="preserve"> </w:t>
      </w:r>
      <w:r w:rsidR="007B24EF" w:rsidRPr="007B24EF">
        <w:rPr>
          <w:rFonts w:ascii="Arial" w:hAnsi="Arial" w:cs="Arial"/>
          <w:sz w:val="22"/>
          <w:szCs w:val="22"/>
        </w:rPr>
        <w:t xml:space="preserve">This research project has been co-designed with the Gillen </w:t>
      </w:r>
      <w:r w:rsidR="002B06DD">
        <w:rPr>
          <w:rFonts w:ascii="Arial" w:hAnsi="Arial" w:cs="Arial"/>
          <w:sz w:val="22"/>
          <w:szCs w:val="22"/>
        </w:rPr>
        <w:t xml:space="preserve">Review </w:t>
      </w:r>
      <w:r w:rsidR="007B24EF" w:rsidRPr="007B24EF">
        <w:rPr>
          <w:rFonts w:ascii="Arial" w:hAnsi="Arial" w:cs="Arial"/>
          <w:sz w:val="22"/>
          <w:szCs w:val="22"/>
        </w:rPr>
        <w:t>Implementation Team</w:t>
      </w:r>
      <w:r w:rsidR="00DE108E">
        <w:rPr>
          <w:rFonts w:ascii="Arial" w:hAnsi="Arial" w:cs="Arial"/>
          <w:sz w:val="22"/>
          <w:szCs w:val="22"/>
        </w:rPr>
        <w:t xml:space="preserve">. </w:t>
      </w:r>
      <w:r w:rsidR="007B24EF" w:rsidRPr="007B24EF">
        <w:rPr>
          <w:rFonts w:ascii="Arial" w:hAnsi="Arial" w:cs="Arial"/>
          <w:sz w:val="22"/>
          <w:szCs w:val="22"/>
        </w:rPr>
        <w:t xml:space="preserve">The project focuses on the recommendations </w:t>
      </w:r>
      <w:r w:rsidR="00DE108E">
        <w:rPr>
          <w:rFonts w:ascii="Arial" w:hAnsi="Arial" w:cs="Arial"/>
          <w:sz w:val="22"/>
          <w:szCs w:val="22"/>
        </w:rPr>
        <w:t xml:space="preserve">in the 2019 Gillen Review </w:t>
      </w:r>
      <w:r w:rsidR="007B24EF" w:rsidRPr="007B24EF">
        <w:rPr>
          <w:rFonts w:ascii="Arial" w:hAnsi="Arial" w:cs="Arial"/>
          <w:sz w:val="22"/>
          <w:szCs w:val="22"/>
        </w:rPr>
        <w:t>relating to the admission of sexual history evidence in sexual offence trials</w:t>
      </w:r>
      <w:r w:rsidR="002610D0">
        <w:rPr>
          <w:rFonts w:ascii="Arial" w:hAnsi="Arial" w:cs="Arial"/>
          <w:sz w:val="22"/>
          <w:szCs w:val="22"/>
        </w:rPr>
        <w:t>,</w:t>
      </w:r>
      <w:r w:rsidR="007B24EF">
        <w:rPr>
          <w:rFonts w:ascii="Arial" w:hAnsi="Arial" w:cs="Arial"/>
          <w:sz w:val="22"/>
          <w:szCs w:val="22"/>
        </w:rPr>
        <w:t xml:space="preserve"> </w:t>
      </w:r>
      <w:r w:rsidR="002B06DD">
        <w:rPr>
          <w:rFonts w:ascii="Arial" w:hAnsi="Arial" w:cs="Arial"/>
          <w:sz w:val="22"/>
          <w:szCs w:val="22"/>
        </w:rPr>
        <w:t xml:space="preserve">as governed by </w:t>
      </w:r>
      <w:r w:rsidR="002B06DD" w:rsidRPr="007B24EF">
        <w:rPr>
          <w:rFonts w:ascii="Arial" w:hAnsi="Arial" w:cs="Arial"/>
          <w:sz w:val="22"/>
          <w:szCs w:val="22"/>
        </w:rPr>
        <w:t>Article 28 of the Criminal Evidence (NI) order 1999</w:t>
      </w:r>
      <w:r w:rsidR="002B06DD">
        <w:rPr>
          <w:rFonts w:ascii="Arial" w:hAnsi="Arial" w:cs="Arial"/>
          <w:sz w:val="22"/>
          <w:szCs w:val="22"/>
        </w:rPr>
        <w:t xml:space="preserve">. It seeks to </w:t>
      </w:r>
      <w:r w:rsidR="007B24EF" w:rsidRPr="007B24EF">
        <w:rPr>
          <w:rFonts w:ascii="Arial" w:hAnsi="Arial" w:cs="Arial"/>
          <w:sz w:val="22"/>
          <w:szCs w:val="22"/>
        </w:rPr>
        <w:t>address the lack of evidence-based research on this matter in NI</w:t>
      </w:r>
      <w:r w:rsidR="002B06DD">
        <w:rPr>
          <w:rFonts w:ascii="Arial" w:hAnsi="Arial" w:cs="Arial"/>
          <w:sz w:val="22"/>
          <w:szCs w:val="22"/>
        </w:rPr>
        <w:t xml:space="preserve"> through an analysis of case files. </w:t>
      </w:r>
    </w:p>
    <w:p w14:paraId="24405617" w14:textId="71132951" w:rsidR="007B24EF" w:rsidRDefault="007B24EF" w:rsidP="000D2747">
      <w:pPr>
        <w:pStyle w:val="NormalWeb"/>
        <w:jc w:val="both"/>
        <w:rPr>
          <w:rFonts w:ascii="Arial" w:hAnsi="Arial" w:cs="Arial"/>
          <w:sz w:val="22"/>
          <w:szCs w:val="22"/>
          <w:lang w:val="en-US"/>
        </w:rPr>
      </w:pPr>
    </w:p>
    <w:p w14:paraId="049CA866" w14:textId="4E214822" w:rsidR="007B24EF" w:rsidRDefault="007B24EF" w:rsidP="000D2747">
      <w:pPr>
        <w:pStyle w:val="NormalWeb"/>
        <w:jc w:val="both"/>
        <w:rPr>
          <w:rFonts w:ascii="Arial" w:hAnsi="Arial" w:cs="Arial"/>
          <w:sz w:val="22"/>
          <w:szCs w:val="22"/>
        </w:rPr>
      </w:pPr>
      <w:r w:rsidRPr="007B24EF">
        <w:rPr>
          <w:rFonts w:ascii="Arial" w:hAnsi="Arial" w:cs="Arial"/>
          <w:sz w:val="22"/>
          <w:szCs w:val="22"/>
        </w:rPr>
        <w:t>Th</w:t>
      </w:r>
      <w:r w:rsidR="00520E8C">
        <w:rPr>
          <w:rFonts w:ascii="Arial" w:hAnsi="Arial" w:cs="Arial"/>
          <w:sz w:val="22"/>
          <w:szCs w:val="22"/>
        </w:rPr>
        <w:t>e</w:t>
      </w:r>
      <w:r w:rsidRPr="007B24EF">
        <w:rPr>
          <w:rFonts w:ascii="Arial" w:hAnsi="Arial" w:cs="Arial"/>
          <w:sz w:val="22"/>
          <w:szCs w:val="22"/>
        </w:rPr>
        <w:t xml:space="preserve"> research</w:t>
      </w:r>
      <w:r w:rsidR="002B06DD">
        <w:rPr>
          <w:rFonts w:ascii="Arial" w:hAnsi="Arial" w:cs="Arial"/>
          <w:sz w:val="22"/>
          <w:szCs w:val="22"/>
        </w:rPr>
        <w:t xml:space="preserve"> will be guided by the following research questions:</w:t>
      </w:r>
    </w:p>
    <w:p w14:paraId="619C4CB7" w14:textId="77777777" w:rsidR="002B06DD" w:rsidRPr="007B24EF" w:rsidRDefault="002B06DD" w:rsidP="000D2747">
      <w:pPr>
        <w:pStyle w:val="NormalWeb"/>
        <w:jc w:val="both"/>
        <w:rPr>
          <w:rFonts w:ascii="Arial" w:hAnsi="Arial" w:cs="Arial"/>
          <w:sz w:val="22"/>
          <w:szCs w:val="22"/>
        </w:rPr>
      </w:pPr>
    </w:p>
    <w:p w14:paraId="3C56B496" w14:textId="77777777" w:rsidR="007B24EF" w:rsidRPr="007B24EF" w:rsidRDefault="007B24EF" w:rsidP="000D2747">
      <w:pPr>
        <w:pStyle w:val="NormalWeb"/>
        <w:numPr>
          <w:ilvl w:val="0"/>
          <w:numId w:val="4"/>
        </w:numPr>
        <w:jc w:val="both"/>
        <w:rPr>
          <w:rFonts w:ascii="Arial" w:hAnsi="Arial" w:cs="Arial"/>
          <w:sz w:val="22"/>
          <w:szCs w:val="22"/>
        </w:rPr>
      </w:pPr>
      <w:r w:rsidRPr="007B24EF">
        <w:rPr>
          <w:rFonts w:ascii="Arial" w:hAnsi="Arial" w:cs="Arial"/>
          <w:sz w:val="22"/>
          <w:szCs w:val="22"/>
        </w:rPr>
        <w:t>What are the key controversies and debates as described in the literature to date on the law surrounding the admission of sexual history evidence?</w:t>
      </w:r>
    </w:p>
    <w:p w14:paraId="655AAA05" w14:textId="77777777" w:rsidR="007B24EF" w:rsidRPr="007B24EF" w:rsidRDefault="007B24EF" w:rsidP="000D2747">
      <w:pPr>
        <w:pStyle w:val="NormalWeb"/>
        <w:numPr>
          <w:ilvl w:val="0"/>
          <w:numId w:val="4"/>
        </w:numPr>
        <w:jc w:val="both"/>
        <w:rPr>
          <w:rFonts w:ascii="Arial" w:hAnsi="Arial" w:cs="Arial"/>
          <w:sz w:val="22"/>
          <w:szCs w:val="22"/>
        </w:rPr>
      </w:pPr>
      <w:r w:rsidRPr="007B24EF">
        <w:rPr>
          <w:rFonts w:ascii="Arial" w:hAnsi="Arial" w:cs="Arial"/>
          <w:sz w:val="22"/>
          <w:szCs w:val="22"/>
        </w:rPr>
        <w:t>What is the extent of article 28 applications regarding the admission of previous sexual experience in trials in NI?</w:t>
      </w:r>
    </w:p>
    <w:p w14:paraId="62395F40" w14:textId="77777777" w:rsidR="007B24EF" w:rsidRPr="007B24EF" w:rsidRDefault="007B24EF" w:rsidP="000D2747">
      <w:pPr>
        <w:pStyle w:val="NormalWeb"/>
        <w:numPr>
          <w:ilvl w:val="0"/>
          <w:numId w:val="4"/>
        </w:numPr>
        <w:jc w:val="both"/>
        <w:rPr>
          <w:rFonts w:ascii="Arial" w:hAnsi="Arial" w:cs="Arial"/>
          <w:sz w:val="22"/>
          <w:szCs w:val="22"/>
        </w:rPr>
      </w:pPr>
      <w:r w:rsidRPr="007B24EF">
        <w:rPr>
          <w:rFonts w:ascii="Arial" w:hAnsi="Arial" w:cs="Arial"/>
          <w:sz w:val="22"/>
          <w:szCs w:val="22"/>
        </w:rPr>
        <w:t>To what extent is evidence of previous sexual history admitted in the absence of an article 28 application and how is such evidence handled within the trial context?</w:t>
      </w:r>
    </w:p>
    <w:p w14:paraId="4E08077F" w14:textId="11BA4816" w:rsidR="007B24EF" w:rsidRPr="007B24EF" w:rsidRDefault="007B24EF" w:rsidP="000D2747">
      <w:pPr>
        <w:pStyle w:val="NormalWeb"/>
        <w:numPr>
          <w:ilvl w:val="0"/>
          <w:numId w:val="4"/>
        </w:numPr>
        <w:jc w:val="both"/>
        <w:rPr>
          <w:rFonts w:ascii="Arial" w:hAnsi="Arial" w:cs="Arial"/>
          <w:sz w:val="22"/>
          <w:szCs w:val="22"/>
        </w:rPr>
      </w:pPr>
      <w:r w:rsidRPr="007B24EF">
        <w:rPr>
          <w:rFonts w:ascii="Arial" w:hAnsi="Arial" w:cs="Arial"/>
          <w:sz w:val="22"/>
          <w:szCs w:val="22"/>
        </w:rPr>
        <w:t>What are the strengths and weaknesses of the reforms to law and policy in</w:t>
      </w:r>
      <w:r w:rsidR="00D0586C">
        <w:rPr>
          <w:rFonts w:ascii="Arial" w:hAnsi="Arial" w:cs="Arial"/>
          <w:sz w:val="22"/>
          <w:szCs w:val="22"/>
        </w:rPr>
        <w:t xml:space="preserve"> respect of sexual history evidence </w:t>
      </w:r>
      <w:r w:rsidRPr="007B24EF">
        <w:rPr>
          <w:rFonts w:ascii="Arial" w:hAnsi="Arial" w:cs="Arial"/>
          <w:sz w:val="22"/>
          <w:szCs w:val="22"/>
        </w:rPr>
        <w:t>as set out in the 2019 Gillen Review?</w:t>
      </w:r>
    </w:p>
    <w:p w14:paraId="25146689" w14:textId="77777777" w:rsidR="007B24EF" w:rsidRPr="007B24EF" w:rsidRDefault="007B24EF" w:rsidP="000D2747">
      <w:pPr>
        <w:pStyle w:val="NormalWeb"/>
        <w:numPr>
          <w:ilvl w:val="0"/>
          <w:numId w:val="4"/>
        </w:numPr>
        <w:jc w:val="both"/>
        <w:rPr>
          <w:rFonts w:ascii="Arial" w:hAnsi="Arial" w:cs="Arial"/>
          <w:sz w:val="22"/>
          <w:szCs w:val="22"/>
        </w:rPr>
      </w:pPr>
      <w:r w:rsidRPr="007B24EF">
        <w:rPr>
          <w:rFonts w:ascii="Arial" w:hAnsi="Arial" w:cs="Arial"/>
          <w:sz w:val="22"/>
          <w:szCs w:val="22"/>
        </w:rPr>
        <w:t>In light of the empirical data, are further reforms needed in this area?</w:t>
      </w:r>
    </w:p>
    <w:p w14:paraId="07250A6E" w14:textId="77777777" w:rsidR="007B24EF" w:rsidRDefault="007B24EF" w:rsidP="001A3093">
      <w:pPr>
        <w:pStyle w:val="NormalWeb"/>
        <w:rPr>
          <w:rFonts w:ascii="Arial" w:hAnsi="Arial" w:cs="Arial"/>
          <w:sz w:val="22"/>
          <w:szCs w:val="22"/>
          <w:lang w:val="en-US"/>
        </w:rPr>
      </w:pPr>
    </w:p>
    <w:p w14:paraId="765C86D4" w14:textId="14DF6785" w:rsidR="00311FE9" w:rsidRDefault="00EF24DD" w:rsidP="001A7038">
      <w:pPr>
        <w:spacing w:line="240" w:lineRule="auto"/>
        <w:jc w:val="both"/>
        <w:rPr>
          <w:rFonts w:ascii="Arial" w:hAnsi="Arial" w:cs="Arial"/>
          <w:lang w:val="en-US"/>
        </w:rPr>
      </w:pPr>
      <w:r w:rsidRPr="00EF24DD">
        <w:rPr>
          <w:rFonts w:ascii="Arial" w:hAnsi="Arial" w:cs="Arial"/>
          <w:u w:val="single"/>
        </w:rPr>
        <w:t>Requirements:</w:t>
      </w:r>
      <w:r>
        <w:rPr>
          <w:rFonts w:ascii="Arial" w:hAnsi="Arial" w:cs="Arial"/>
        </w:rPr>
        <w:t xml:space="preserve"> </w:t>
      </w:r>
      <w:r w:rsidR="001A7038" w:rsidRPr="001A7038">
        <w:rPr>
          <w:rFonts w:ascii="Arial" w:hAnsi="Arial" w:cs="Arial"/>
        </w:rPr>
        <w:t xml:space="preserve">The researcher should have sufficient knowledge of </w:t>
      </w:r>
      <w:r w:rsidR="002B06DD">
        <w:rPr>
          <w:rFonts w:ascii="Arial" w:hAnsi="Arial" w:cs="Arial"/>
        </w:rPr>
        <w:t xml:space="preserve">the social, </w:t>
      </w:r>
      <w:r w:rsidR="001A7038" w:rsidRPr="001A7038">
        <w:rPr>
          <w:rFonts w:ascii="Arial" w:hAnsi="Arial" w:cs="Arial"/>
        </w:rPr>
        <w:t>legal</w:t>
      </w:r>
      <w:r w:rsidR="002B06DD">
        <w:rPr>
          <w:rFonts w:ascii="Arial" w:hAnsi="Arial" w:cs="Arial"/>
        </w:rPr>
        <w:t xml:space="preserve"> and</w:t>
      </w:r>
      <w:r w:rsidR="001A7038" w:rsidRPr="001A7038">
        <w:rPr>
          <w:rFonts w:ascii="Arial" w:hAnsi="Arial" w:cs="Arial"/>
        </w:rPr>
        <w:t xml:space="preserve"> policy issues in relation to </w:t>
      </w:r>
      <w:r w:rsidR="002B06DD">
        <w:rPr>
          <w:rFonts w:ascii="Arial" w:hAnsi="Arial" w:cs="Arial"/>
        </w:rPr>
        <w:t>the law governing sexual history evidence</w:t>
      </w:r>
      <w:r w:rsidR="000D2747">
        <w:rPr>
          <w:rFonts w:ascii="Arial" w:hAnsi="Arial" w:cs="Arial"/>
        </w:rPr>
        <w:t xml:space="preserve"> and the </w:t>
      </w:r>
      <w:r w:rsidR="002B06DD">
        <w:rPr>
          <w:rFonts w:ascii="Arial" w:hAnsi="Arial" w:cs="Arial"/>
        </w:rPr>
        <w:t>2019 Gillen Review</w:t>
      </w:r>
      <w:r w:rsidR="000D2747">
        <w:rPr>
          <w:rFonts w:ascii="Arial" w:hAnsi="Arial" w:cs="Arial"/>
        </w:rPr>
        <w:t>, as well as experience of or knowledge of both qualitative and quantitative research methods</w:t>
      </w:r>
      <w:r w:rsidR="002610D0">
        <w:rPr>
          <w:rFonts w:ascii="Arial" w:hAnsi="Arial" w:cs="Arial"/>
        </w:rPr>
        <w:t xml:space="preserve">; </w:t>
      </w:r>
      <w:r w:rsidR="001A7038" w:rsidRPr="001A7038">
        <w:rPr>
          <w:rFonts w:ascii="Arial" w:hAnsi="Arial" w:cs="Arial"/>
        </w:rPr>
        <w:t xml:space="preserve">this may emerge out of prior studies of or practice in </w:t>
      </w:r>
      <w:proofErr w:type="gramStart"/>
      <w:r w:rsidR="001A7038" w:rsidRPr="001A7038">
        <w:rPr>
          <w:rFonts w:ascii="Arial" w:hAnsi="Arial" w:cs="Arial"/>
        </w:rPr>
        <w:t>law, but</w:t>
      </w:r>
      <w:proofErr w:type="gramEnd"/>
      <w:r w:rsidR="001A7038" w:rsidRPr="001A7038">
        <w:rPr>
          <w:rFonts w:ascii="Arial" w:hAnsi="Arial" w:cs="Arial"/>
        </w:rPr>
        <w:t xml:space="preserve"> could similarly be demonstrated through study or work in other relevant fields.</w:t>
      </w:r>
    </w:p>
    <w:p w14:paraId="56AD6DE6" w14:textId="713F0550" w:rsidR="00311FE9" w:rsidRPr="003306B6" w:rsidRDefault="00EF24DD" w:rsidP="00E04082">
      <w:pPr>
        <w:spacing w:line="240" w:lineRule="auto"/>
        <w:jc w:val="both"/>
        <w:rPr>
          <w:rFonts w:ascii="Arial" w:hAnsi="Arial" w:cs="Arial"/>
        </w:rPr>
      </w:pPr>
      <w:r w:rsidRPr="00EF24DD">
        <w:rPr>
          <w:rFonts w:ascii="Arial" w:hAnsi="Arial" w:cs="Arial"/>
          <w:u w:val="single"/>
          <w:lang w:val="en-US"/>
        </w:rPr>
        <w:t>Further information</w:t>
      </w:r>
      <w:r>
        <w:rPr>
          <w:rFonts w:ascii="Arial" w:hAnsi="Arial" w:cs="Arial"/>
          <w:lang w:val="en-US"/>
        </w:rPr>
        <w:t xml:space="preserve">: Contact </w:t>
      </w:r>
      <w:r w:rsidR="007B24EF">
        <w:rPr>
          <w:rFonts w:ascii="Arial" w:hAnsi="Arial" w:cs="Arial"/>
          <w:lang w:val="en-US"/>
        </w:rPr>
        <w:t xml:space="preserve">Dr Eithne Dowds </w:t>
      </w:r>
      <w:r w:rsidR="001A7038">
        <w:rPr>
          <w:rFonts w:ascii="Arial" w:hAnsi="Arial" w:cs="Arial"/>
          <w:lang w:val="en-US"/>
        </w:rPr>
        <w:t>(</w:t>
      </w:r>
      <w:hyperlink r:id="rId10" w:history="1">
        <w:r w:rsidR="007B24EF" w:rsidRPr="008F416E">
          <w:rPr>
            <w:rStyle w:val="Hyperlink"/>
            <w:rFonts w:ascii="Arial" w:hAnsi="Arial" w:cs="Arial"/>
            <w:lang w:val="en-US"/>
          </w:rPr>
          <w:t>e.dowds@qub.ac.uk</w:t>
        </w:r>
      </w:hyperlink>
      <w:r w:rsidR="001A7038">
        <w:rPr>
          <w:rFonts w:ascii="Arial" w:hAnsi="Arial" w:cs="Arial"/>
          <w:lang w:val="en-US"/>
        </w:rPr>
        <w:t xml:space="preserve">) </w:t>
      </w:r>
      <w:r w:rsidR="00B45558">
        <w:rPr>
          <w:rFonts w:ascii="Arial" w:hAnsi="Arial" w:cs="Arial"/>
          <w:lang w:val="en-US"/>
        </w:rPr>
        <w:t xml:space="preserve"> </w:t>
      </w:r>
    </w:p>
    <w:sectPr w:rsidR="00311FE9" w:rsidRPr="00330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6111"/>
    <w:multiLevelType w:val="multilevel"/>
    <w:tmpl w:val="432AF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F0BEB"/>
    <w:multiLevelType w:val="hybridMultilevel"/>
    <w:tmpl w:val="ACCE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80A05"/>
    <w:multiLevelType w:val="hybridMultilevel"/>
    <w:tmpl w:val="6518AD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600CA7"/>
    <w:multiLevelType w:val="hybridMultilevel"/>
    <w:tmpl w:val="0BC0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97"/>
    <w:rsid w:val="000000CD"/>
    <w:rsid w:val="00001732"/>
    <w:rsid w:val="000019DD"/>
    <w:rsid w:val="0002533A"/>
    <w:rsid w:val="0004475E"/>
    <w:rsid w:val="00095C78"/>
    <w:rsid w:val="000D2747"/>
    <w:rsid w:val="00125B18"/>
    <w:rsid w:val="0019072D"/>
    <w:rsid w:val="00196645"/>
    <w:rsid w:val="00196963"/>
    <w:rsid w:val="001A3093"/>
    <w:rsid w:val="001A7038"/>
    <w:rsid w:val="001C6A97"/>
    <w:rsid w:val="00212E90"/>
    <w:rsid w:val="002610D0"/>
    <w:rsid w:val="002B06DD"/>
    <w:rsid w:val="002B45AC"/>
    <w:rsid w:val="002B6E29"/>
    <w:rsid w:val="002B7251"/>
    <w:rsid w:val="002E5B7B"/>
    <w:rsid w:val="00311FE9"/>
    <w:rsid w:val="003306B6"/>
    <w:rsid w:val="00352E5F"/>
    <w:rsid w:val="00377D00"/>
    <w:rsid w:val="0038097D"/>
    <w:rsid w:val="003E2110"/>
    <w:rsid w:val="00434AB1"/>
    <w:rsid w:val="004D5D5C"/>
    <w:rsid w:val="00520E8C"/>
    <w:rsid w:val="005444B4"/>
    <w:rsid w:val="005B6DB7"/>
    <w:rsid w:val="005C63E3"/>
    <w:rsid w:val="005F2DAB"/>
    <w:rsid w:val="0060031B"/>
    <w:rsid w:val="00680708"/>
    <w:rsid w:val="007B24EF"/>
    <w:rsid w:val="008760BB"/>
    <w:rsid w:val="009A56C6"/>
    <w:rsid w:val="009D2641"/>
    <w:rsid w:val="00A1062D"/>
    <w:rsid w:val="00A714DE"/>
    <w:rsid w:val="00A805DC"/>
    <w:rsid w:val="00A955E2"/>
    <w:rsid w:val="00A9611C"/>
    <w:rsid w:val="00AD6222"/>
    <w:rsid w:val="00B45558"/>
    <w:rsid w:val="00BB2EDA"/>
    <w:rsid w:val="00BF55D7"/>
    <w:rsid w:val="00C33769"/>
    <w:rsid w:val="00CF182D"/>
    <w:rsid w:val="00CF1B13"/>
    <w:rsid w:val="00D0586C"/>
    <w:rsid w:val="00D161E4"/>
    <w:rsid w:val="00DC5824"/>
    <w:rsid w:val="00DE108E"/>
    <w:rsid w:val="00E04082"/>
    <w:rsid w:val="00E112DE"/>
    <w:rsid w:val="00EC7CA4"/>
    <w:rsid w:val="00EF24DD"/>
    <w:rsid w:val="00F57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2C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97"/>
  </w:style>
  <w:style w:type="paragraph" w:styleId="Heading1">
    <w:name w:val="heading 1"/>
    <w:basedOn w:val="Normal"/>
    <w:next w:val="Normal"/>
    <w:link w:val="Heading1Char"/>
    <w:autoRedefine/>
    <w:qFormat/>
    <w:rsid w:val="005B6DB7"/>
    <w:pPr>
      <w:keepNext/>
      <w:spacing w:after="0" w:line="240" w:lineRule="auto"/>
      <w:ind w:left="705"/>
      <w:outlineLvl w:val="0"/>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97"/>
    <w:rPr>
      <w:rFonts w:ascii="Segoe UI" w:hAnsi="Segoe UI" w:cs="Segoe UI"/>
      <w:sz w:val="18"/>
      <w:szCs w:val="18"/>
    </w:rPr>
  </w:style>
  <w:style w:type="character" w:styleId="Hyperlink">
    <w:name w:val="Hyperlink"/>
    <w:basedOn w:val="DefaultParagraphFont"/>
    <w:uiPriority w:val="99"/>
    <w:unhideWhenUsed/>
    <w:rsid w:val="00E04082"/>
    <w:rPr>
      <w:color w:val="0563C1" w:themeColor="hyperlink"/>
      <w:u w:val="single"/>
    </w:rPr>
  </w:style>
  <w:style w:type="character" w:styleId="FollowedHyperlink">
    <w:name w:val="FollowedHyperlink"/>
    <w:basedOn w:val="DefaultParagraphFont"/>
    <w:uiPriority w:val="99"/>
    <w:semiHidden/>
    <w:unhideWhenUsed/>
    <w:rsid w:val="00E04082"/>
    <w:rPr>
      <w:color w:val="954F72" w:themeColor="followedHyperlink"/>
      <w:u w:val="single"/>
    </w:rPr>
  </w:style>
  <w:style w:type="paragraph" w:styleId="NoSpacing">
    <w:name w:val="No Spacing"/>
    <w:uiPriority w:val="1"/>
    <w:qFormat/>
    <w:rsid w:val="00E04082"/>
    <w:pPr>
      <w:spacing w:after="0" w:line="240" w:lineRule="auto"/>
    </w:pPr>
  </w:style>
  <w:style w:type="paragraph" w:styleId="ListParagraph">
    <w:name w:val="List Paragraph"/>
    <w:basedOn w:val="Normal"/>
    <w:uiPriority w:val="34"/>
    <w:qFormat/>
    <w:rsid w:val="00311FE9"/>
    <w:pPr>
      <w:ind w:left="720"/>
      <w:contextualSpacing/>
    </w:pPr>
  </w:style>
  <w:style w:type="character" w:customStyle="1" w:styleId="Heading1Char">
    <w:name w:val="Heading 1 Char"/>
    <w:basedOn w:val="DefaultParagraphFont"/>
    <w:link w:val="Heading1"/>
    <w:rsid w:val="005B6DB7"/>
    <w:rPr>
      <w:rFonts w:ascii="Arial" w:eastAsia="Times New Roman" w:hAnsi="Arial" w:cs="Times New Roman"/>
      <w:sz w:val="20"/>
      <w:szCs w:val="20"/>
    </w:rPr>
  </w:style>
  <w:style w:type="paragraph" w:customStyle="1" w:styleId="DeptSchoolHeader">
    <w:name w:val="Dept/School Header"/>
    <w:basedOn w:val="Normal"/>
    <w:next w:val="Normal"/>
    <w:autoRedefine/>
    <w:rsid w:val="005B6DB7"/>
    <w:pPr>
      <w:spacing w:after="180" w:line="240" w:lineRule="auto"/>
      <w:ind w:left="131"/>
    </w:pPr>
    <w:rPr>
      <w:rFonts w:eastAsia="Times New Roman" w:cs="Times New Roman"/>
      <w:b/>
      <w:sz w:val="36"/>
      <w:szCs w:val="36"/>
    </w:rPr>
  </w:style>
  <w:style w:type="paragraph" w:customStyle="1" w:styleId="xmsonormal">
    <w:name w:val="x_msonormal"/>
    <w:basedOn w:val="Normal"/>
    <w:rsid w:val="00212E90"/>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A7038"/>
    <w:rPr>
      <w:color w:val="605E5C"/>
      <w:shd w:val="clear" w:color="auto" w:fill="E1DFDD"/>
    </w:rPr>
  </w:style>
  <w:style w:type="character" w:styleId="CommentReference">
    <w:name w:val="annotation reference"/>
    <w:basedOn w:val="DefaultParagraphFont"/>
    <w:uiPriority w:val="99"/>
    <w:semiHidden/>
    <w:unhideWhenUsed/>
    <w:rsid w:val="00680708"/>
    <w:rPr>
      <w:sz w:val="16"/>
      <w:szCs w:val="16"/>
    </w:rPr>
  </w:style>
  <w:style w:type="paragraph" w:styleId="CommentText">
    <w:name w:val="annotation text"/>
    <w:basedOn w:val="Normal"/>
    <w:link w:val="CommentTextChar"/>
    <w:uiPriority w:val="99"/>
    <w:semiHidden/>
    <w:unhideWhenUsed/>
    <w:rsid w:val="00680708"/>
    <w:pPr>
      <w:spacing w:line="240" w:lineRule="auto"/>
    </w:pPr>
    <w:rPr>
      <w:sz w:val="20"/>
      <w:szCs w:val="20"/>
    </w:rPr>
  </w:style>
  <w:style w:type="character" w:customStyle="1" w:styleId="CommentTextChar">
    <w:name w:val="Comment Text Char"/>
    <w:basedOn w:val="DefaultParagraphFont"/>
    <w:link w:val="CommentText"/>
    <w:uiPriority w:val="99"/>
    <w:semiHidden/>
    <w:rsid w:val="00680708"/>
    <w:rPr>
      <w:sz w:val="20"/>
      <w:szCs w:val="20"/>
    </w:rPr>
  </w:style>
  <w:style w:type="paragraph" w:styleId="CommentSubject">
    <w:name w:val="annotation subject"/>
    <w:basedOn w:val="CommentText"/>
    <w:next w:val="CommentText"/>
    <w:link w:val="CommentSubjectChar"/>
    <w:uiPriority w:val="99"/>
    <w:semiHidden/>
    <w:unhideWhenUsed/>
    <w:rsid w:val="00680708"/>
    <w:rPr>
      <w:b/>
      <w:bCs/>
    </w:rPr>
  </w:style>
  <w:style w:type="character" w:customStyle="1" w:styleId="CommentSubjectChar">
    <w:name w:val="Comment Subject Char"/>
    <w:basedOn w:val="CommentTextChar"/>
    <w:link w:val="CommentSubject"/>
    <w:uiPriority w:val="99"/>
    <w:semiHidden/>
    <w:rsid w:val="00680708"/>
    <w:rPr>
      <w:b/>
      <w:bCs/>
      <w:sz w:val="20"/>
      <w:szCs w:val="20"/>
    </w:rPr>
  </w:style>
  <w:style w:type="paragraph" w:styleId="NormalWeb">
    <w:name w:val="Normal (Web)"/>
    <w:basedOn w:val="Normal"/>
    <w:uiPriority w:val="99"/>
    <w:unhideWhenUsed/>
    <w:rsid w:val="001A3093"/>
    <w:pPr>
      <w:spacing w:after="0" w:line="240" w:lineRule="auto"/>
    </w:pPr>
    <w:rPr>
      <w:rFonts w:ascii="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7B2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96896">
      <w:bodyDiv w:val="1"/>
      <w:marLeft w:val="0"/>
      <w:marRight w:val="0"/>
      <w:marTop w:val="0"/>
      <w:marBottom w:val="0"/>
      <w:divBdr>
        <w:top w:val="none" w:sz="0" w:space="0" w:color="auto"/>
        <w:left w:val="none" w:sz="0" w:space="0" w:color="auto"/>
        <w:bottom w:val="none" w:sz="0" w:space="0" w:color="auto"/>
        <w:right w:val="none" w:sz="0" w:space="0" w:color="auto"/>
      </w:divBdr>
      <w:divsChild>
        <w:div w:id="1463423521">
          <w:marLeft w:val="0"/>
          <w:marRight w:val="0"/>
          <w:marTop w:val="0"/>
          <w:marBottom w:val="0"/>
          <w:divBdr>
            <w:top w:val="none" w:sz="0" w:space="0" w:color="auto"/>
            <w:left w:val="none" w:sz="0" w:space="0" w:color="auto"/>
            <w:bottom w:val="none" w:sz="0" w:space="0" w:color="auto"/>
            <w:right w:val="none" w:sz="0" w:space="0" w:color="auto"/>
          </w:divBdr>
          <w:divsChild>
            <w:div w:id="832376698">
              <w:marLeft w:val="0"/>
              <w:marRight w:val="0"/>
              <w:marTop w:val="0"/>
              <w:marBottom w:val="0"/>
              <w:divBdr>
                <w:top w:val="none" w:sz="0" w:space="0" w:color="auto"/>
                <w:left w:val="none" w:sz="0" w:space="0" w:color="auto"/>
                <w:bottom w:val="none" w:sz="0" w:space="0" w:color="auto"/>
                <w:right w:val="none" w:sz="0" w:space="0" w:color="auto"/>
              </w:divBdr>
              <w:divsChild>
                <w:div w:id="1091006426">
                  <w:marLeft w:val="0"/>
                  <w:marRight w:val="0"/>
                  <w:marTop w:val="0"/>
                  <w:marBottom w:val="0"/>
                  <w:divBdr>
                    <w:top w:val="none" w:sz="0" w:space="0" w:color="auto"/>
                    <w:left w:val="none" w:sz="0" w:space="0" w:color="auto"/>
                    <w:bottom w:val="none" w:sz="0" w:space="0" w:color="auto"/>
                    <w:right w:val="none" w:sz="0" w:space="0" w:color="auto"/>
                  </w:divBdr>
                  <w:divsChild>
                    <w:div w:id="282346916">
                      <w:marLeft w:val="0"/>
                      <w:marRight w:val="0"/>
                      <w:marTop w:val="0"/>
                      <w:marBottom w:val="0"/>
                      <w:divBdr>
                        <w:top w:val="none" w:sz="0" w:space="0" w:color="auto"/>
                        <w:left w:val="none" w:sz="0" w:space="0" w:color="auto"/>
                        <w:bottom w:val="none" w:sz="0" w:space="0" w:color="auto"/>
                        <w:right w:val="none" w:sz="0" w:space="0" w:color="auto"/>
                      </w:divBdr>
                      <w:divsChild>
                        <w:div w:id="3059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352520">
      <w:bodyDiv w:val="1"/>
      <w:marLeft w:val="0"/>
      <w:marRight w:val="0"/>
      <w:marTop w:val="0"/>
      <w:marBottom w:val="0"/>
      <w:divBdr>
        <w:top w:val="none" w:sz="0" w:space="0" w:color="auto"/>
        <w:left w:val="none" w:sz="0" w:space="0" w:color="auto"/>
        <w:bottom w:val="none" w:sz="0" w:space="0" w:color="auto"/>
        <w:right w:val="none" w:sz="0" w:space="0" w:color="auto"/>
      </w:divBdr>
      <w:divsChild>
        <w:div w:id="811140561">
          <w:marLeft w:val="0"/>
          <w:marRight w:val="0"/>
          <w:marTop w:val="0"/>
          <w:marBottom w:val="0"/>
          <w:divBdr>
            <w:top w:val="none" w:sz="0" w:space="0" w:color="auto"/>
            <w:left w:val="none" w:sz="0" w:space="0" w:color="auto"/>
            <w:bottom w:val="none" w:sz="0" w:space="0" w:color="auto"/>
            <w:right w:val="none" w:sz="0" w:space="0" w:color="auto"/>
          </w:divBdr>
          <w:divsChild>
            <w:div w:id="152839395">
              <w:marLeft w:val="0"/>
              <w:marRight w:val="0"/>
              <w:marTop w:val="0"/>
              <w:marBottom w:val="0"/>
              <w:divBdr>
                <w:top w:val="none" w:sz="0" w:space="0" w:color="auto"/>
                <w:left w:val="none" w:sz="0" w:space="0" w:color="auto"/>
                <w:bottom w:val="none" w:sz="0" w:space="0" w:color="auto"/>
                <w:right w:val="none" w:sz="0" w:space="0" w:color="auto"/>
              </w:divBdr>
              <w:divsChild>
                <w:div w:id="1385442214">
                  <w:marLeft w:val="0"/>
                  <w:marRight w:val="0"/>
                  <w:marTop w:val="0"/>
                  <w:marBottom w:val="0"/>
                  <w:divBdr>
                    <w:top w:val="none" w:sz="0" w:space="0" w:color="auto"/>
                    <w:left w:val="none" w:sz="0" w:space="0" w:color="auto"/>
                    <w:bottom w:val="none" w:sz="0" w:space="0" w:color="auto"/>
                    <w:right w:val="none" w:sz="0" w:space="0" w:color="auto"/>
                  </w:divBdr>
                  <w:divsChild>
                    <w:div w:id="1417629220">
                      <w:marLeft w:val="0"/>
                      <w:marRight w:val="0"/>
                      <w:marTop w:val="0"/>
                      <w:marBottom w:val="0"/>
                      <w:divBdr>
                        <w:top w:val="none" w:sz="0" w:space="0" w:color="auto"/>
                        <w:left w:val="none" w:sz="0" w:space="0" w:color="auto"/>
                        <w:bottom w:val="none" w:sz="0" w:space="0" w:color="auto"/>
                        <w:right w:val="none" w:sz="0" w:space="0" w:color="auto"/>
                      </w:divBdr>
                      <w:divsChild>
                        <w:div w:id="5076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47467">
      <w:bodyDiv w:val="1"/>
      <w:marLeft w:val="0"/>
      <w:marRight w:val="0"/>
      <w:marTop w:val="0"/>
      <w:marBottom w:val="0"/>
      <w:divBdr>
        <w:top w:val="none" w:sz="0" w:space="0" w:color="auto"/>
        <w:left w:val="none" w:sz="0" w:space="0" w:color="auto"/>
        <w:bottom w:val="none" w:sz="0" w:space="0" w:color="auto"/>
        <w:right w:val="none" w:sz="0" w:space="0" w:color="auto"/>
      </w:divBdr>
    </w:div>
    <w:div w:id="1263761589">
      <w:bodyDiv w:val="1"/>
      <w:marLeft w:val="0"/>
      <w:marRight w:val="0"/>
      <w:marTop w:val="0"/>
      <w:marBottom w:val="0"/>
      <w:divBdr>
        <w:top w:val="none" w:sz="0" w:space="0" w:color="auto"/>
        <w:left w:val="none" w:sz="0" w:space="0" w:color="auto"/>
        <w:bottom w:val="none" w:sz="0" w:space="0" w:color="auto"/>
        <w:right w:val="none" w:sz="0" w:space="0" w:color="auto"/>
      </w:divBdr>
    </w:div>
    <w:div w:id="20161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department-economy-studentships%20" TargetMode="External"/><Relationship Id="rId3" Type="http://schemas.openxmlformats.org/officeDocument/2006/relationships/settings" Target="settings.xml"/><Relationship Id="rId7" Type="http://schemas.openxmlformats.org/officeDocument/2006/relationships/hyperlink" Target="https://dap.qub.ac.uk/portal/user/u_login.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direct.gov.uk/articles/department-economy-studentships%2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dowds@qub.ac.uk" TargetMode="External"/><Relationship Id="rId4" Type="http://schemas.openxmlformats.org/officeDocument/2006/relationships/webSettings" Target="webSettings.xml"/><Relationship Id="rId9" Type="http://schemas.openxmlformats.org/officeDocument/2006/relationships/hyperlink" Target="https://www.nidirect.gov.uk/articles/department-economy-studentship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2019-03-22T10:19:00Z</cp:lastPrinted>
  <dcterms:created xsi:type="dcterms:W3CDTF">2021-04-26T14:24:00Z</dcterms:created>
  <dcterms:modified xsi:type="dcterms:W3CDTF">2021-04-26T14:24:00Z</dcterms:modified>
</cp:coreProperties>
</file>